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3EDF1" w14:textId="0F9F4137" w:rsidR="00601203" w:rsidRPr="00AD475A" w:rsidRDefault="00601203" w:rsidP="00FE70D3">
      <w:pPr>
        <w:spacing w:line="480" w:lineRule="auto"/>
        <w:jc w:val="both"/>
        <w:rPr>
          <w:u w:val="single"/>
        </w:rPr>
      </w:pPr>
      <w:commentRangeStart w:id="0"/>
      <w:r w:rsidRPr="00AD475A">
        <w:rPr>
          <w:u w:val="single"/>
        </w:rPr>
        <w:t>Background Summary:</w:t>
      </w:r>
      <w:commentRangeEnd w:id="0"/>
      <w:r w:rsidR="00806879">
        <w:rPr>
          <w:rStyle w:val="CommentReference"/>
        </w:rPr>
        <w:commentReference w:id="0"/>
      </w:r>
    </w:p>
    <w:p w14:paraId="6B959D71" w14:textId="28C7FB6A" w:rsidR="00601203" w:rsidRDefault="00601203" w:rsidP="00FE70D3">
      <w:pPr>
        <w:spacing w:line="480" w:lineRule="auto"/>
        <w:jc w:val="both"/>
      </w:pPr>
      <w:r>
        <w:tab/>
      </w:r>
      <w:r w:rsidRPr="00601203">
        <w:rPr>
          <w:i/>
          <w:iCs/>
        </w:rPr>
        <w:t>Francisella tularensis</w:t>
      </w:r>
      <w:r>
        <w:t xml:space="preserve"> is an intracellular human pathogen that can cause the fatal disease tularemia. Precise regulation of gene expression is critical to this bacteria’s ability to survive in diverse environments and infect hosts. However, our understanding of gene regulation in this organism is limited, with few well-described virulence factors, sigma factors, and two-component systems (reviewed in Dai et al. 2011 and Spidlova et al. 2020). An area of gene regulation that has been unexplored in </w:t>
      </w:r>
      <w:r w:rsidRPr="00601203">
        <w:rPr>
          <w:i/>
          <w:iCs/>
        </w:rPr>
        <w:t>F. tularensis</w:t>
      </w:r>
      <w:r>
        <w:t xml:space="preserve"> until our work is heterogeneous ribosomes that translate differentially, </w:t>
      </w:r>
      <w:r w:rsidR="00806879">
        <w:t>sometimes termed</w:t>
      </w:r>
      <w:r>
        <w:t xml:space="preserve"> </w:t>
      </w:r>
      <w:r w:rsidR="00806879">
        <w:t>“</w:t>
      </w:r>
      <w:r>
        <w:t>specialized ribosomes</w:t>
      </w:r>
      <w:r w:rsidR="00806879">
        <w:t>”</w:t>
      </w:r>
      <w:r>
        <w:t>.</w:t>
      </w:r>
    </w:p>
    <w:p w14:paraId="2CEEEC61" w14:textId="2C5254A6" w:rsidR="00601203" w:rsidRDefault="00601203" w:rsidP="00FE70D3">
      <w:pPr>
        <w:spacing w:line="480" w:lineRule="auto"/>
        <w:jc w:val="both"/>
      </w:pPr>
      <w:r>
        <w:tab/>
        <w:t>The model that ribosomes may have specialized functions has been explored in eukaryotes and some species of bacteria</w:t>
      </w:r>
      <w:r w:rsidR="00784F80">
        <w:t xml:space="preserve">. Ribosomes are commonly heterogeneous with respect to ribosomal RNA content, ribosomal protein content, and post-transcriptional and post-translational modifications. The functional consequences of this heterogeneity on translation and gene expression remains incompletely understood and is a rich avenue of research (Genuth &amp; Barna 2018; Xue &amp; Barna 2012; Sauret et al. 2015). </w:t>
      </w:r>
    </w:p>
    <w:p w14:paraId="6D863A18" w14:textId="2310E388" w:rsidR="00784F80" w:rsidRDefault="00784F80" w:rsidP="00FE70D3">
      <w:pPr>
        <w:spacing w:line="480" w:lineRule="auto"/>
        <w:jc w:val="both"/>
      </w:pPr>
      <w:r>
        <w:tab/>
        <w:t xml:space="preserve">Previous research indicates that </w:t>
      </w:r>
      <w:r w:rsidR="004A4367">
        <w:t xml:space="preserve">the small ribosomal protein </w:t>
      </w:r>
      <w:r>
        <w:t>bS21 may serve a regulatory role in bacteria</w:t>
      </w:r>
      <w:r w:rsidR="004A4367">
        <w:t>l translation. I</w:t>
      </w:r>
      <w:r>
        <w:t xml:space="preserve">n </w:t>
      </w:r>
      <w:r w:rsidRPr="00784F80">
        <w:rPr>
          <w:i/>
          <w:iCs/>
        </w:rPr>
        <w:t xml:space="preserve">Flavobacterium </w:t>
      </w:r>
      <w:proofErr w:type="spellStart"/>
      <w:r w:rsidRPr="00784F80">
        <w:rPr>
          <w:i/>
          <w:iCs/>
        </w:rPr>
        <w:t>johnsiniae</w:t>
      </w:r>
      <w:proofErr w:type="spellEnd"/>
      <w:r w:rsidR="004A4367">
        <w:t xml:space="preserve">, </w:t>
      </w:r>
      <w:r>
        <w:t>bS21 sequesters the anti-Shine</w:t>
      </w:r>
      <w:r w:rsidR="00771BC6">
        <w:t>-</w:t>
      </w:r>
      <w:r>
        <w:t>Dalgarno of the 16S rRNA, thereby regulating expression of transcripts with strong Shine</w:t>
      </w:r>
      <w:r w:rsidR="00771BC6">
        <w:t>-</w:t>
      </w:r>
      <w:r>
        <w:t xml:space="preserve">Dalgarno sequences (Jha et al. 2020; McNutt et al. 2023). </w:t>
      </w:r>
      <w:commentRangeStart w:id="1"/>
      <w:r>
        <w:t xml:space="preserve">Loss of bS21 leads to specific phenotypes in other bacteria, including altered stress response in </w:t>
      </w:r>
      <w:r w:rsidRPr="00784F80">
        <w:rPr>
          <w:i/>
          <w:iCs/>
        </w:rPr>
        <w:t>Listeria monocytogenes</w:t>
      </w:r>
      <w:r>
        <w:t xml:space="preserve">, antibiotic </w:t>
      </w:r>
      <w:r>
        <w:lastRenderedPageBreak/>
        <w:t xml:space="preserve">resistance in </w:t>
      </w:r>
      <w:r w:rsidRPr="00784F80">
        <w:rPr>
          <w:i/>
          <w:iCs/>
        </w:rPr>
        <w:t>Staphylococcus aureus</w:t>
      </w:r>
      <w:r>
        <w:t xml:space="preserve">, and defects in motility and biofilm formation in </w:t>
      </w:r>
      <w:r w:rsidRPr="00784F80">
        <w:rPr>
          <w:i/>
          <w:iCs/>
        </w:rPr>
        <w:t>Bacillus subtilis</w:t>
      </w:r>
      <w:r>
        <w:t xml:space="preserve"> (</w:t>
      </w:r>
      <w:proofErr w:type="spellStart"/>
      <w:r w:rsidR="004A4367">
        <w:t>Metselaar</w:t>
      </w:r>
      <w:proofErr w:type="spellEnd"/>
      <w:r w:rsidR="004A4367">
        <w:t xml:space="preserve"> et al. 2015; </w:t>
      </w:r>
      <w:r w:rsidR="004A4367" w:rsidRPr="00351E97">
        <w:rPr>
          <w:szCs w:val="24"/>
        </w:rPr>
        <w:t xml:space="preserve">Basco </w:t>
      </w:r>
      <w:r w:rsidR="004A4367">
        <w:rPr>
          <w:szCs w:val="24"/>
        </w:rPr>
        <w:t>et al. 2019; Blake &amp; O’Neill 2013; F</w:t>
      </w:r>
      <w:r w:rsidR="004A4367" w:rsidRPr="00351E97">
        <w:rPr>
          <w:szCs w:val="24"/>
        </w:rPr>
        <w:t>riedman</w:t>
      </w:r>
      <w:r w:rsidR="004A4367">
        <w:rPr>
          <w:szCs w:val="24"/>
        </w:rPr>
        <w:t xml:space="preserve"> et al. 2006; T</w:t>
      </w:r>
      <w:r w:rsidR="004A4367" w:rsidRPr="00351E97">
        <w:rPr>
          <w:szCs w:val="24"/>
        </w:rPr>
        <w:t>akada et al.</w:t>
      </w:r>
      <w:r w:rsidR="004A4367">
        <w:rPr>
          <w:szCs w:val="24"/>
        </w:rPr>
        <w:t xml:space="preserve">, 2014). Further, bS21 has been found on thousands of bacteriophage genomes and it has been suggested that phage-encoded bS21 may be used to hijack host ribosomes </w:t>
      </w:r>
      <w:commentRangeEnd w:id="1"/>
      <w:r w:rsidR="00806879">
        <w:rPr>
          <w:rStyle w:val="CommentReference"/>
        </w:rPr>
        <w:commentReference w:id="1"/>
      </w:r>
      <w:r w:rsidR="004A4367">
        <w:rPr>
          <w:szCs w:val="24"/>
        </w:rPr>
        <w:t>(Mizuno et al. 2019; Chen et al. 2022). Together, this literature suggests that bS21 may be involved in gene regulation in diverse species of bacteria.</w:t>
      </w:r>
    </w:p>
    <w:p w14:paraId="40B6BFE9" w14:textId="19F8940D" w:rsidR="00601203" w:rsidRDefault="004A4367" w:rsidP="00FE70D3">
      <w:pPr>
        <w:spacing w:line="480" w:lineRule="auto"/>
        <w:jc w:val="both"/>
      </w:pPr>
      <w:r>
        <w:tab/>
        <w:t xml:space="preserve">This led us to hypothesize that the three homologs of bS21 in </w:t>
      </w:r>
      <w:r w:rsidRPr="004A4367">
        <w:rPr>
          <w:i/>
          <w:iCs/>
        </w:rPr>
        <w:t>F. tularensis</w:t>
      </w:r>
      <w:r>
        <w:t xml:space="preserve"> may serve distinct functions in translation</w:t>
      </w:r>
      <w:r w:rsidR="0083706B">
        <w:t xml:space="preserve"> initiation</w:t>
      </w:r>
      <w:r>
        <w:t xml:space="preserve"> as a way to regulate genes. </w:t>
      </w:r>
      <w:r w:rsidR="0083706B">
        <w:t>Specifically, we proposed a model in which a particular bS21 homolog directly or indirectly leads to preferential translation initiation of a subset of transcripts, leading to changes in protein abundance. To assess this, w</w:t>
      </w:r>
      <w:r>
        <w:t xml:space="preserve">e asked how loss of one bS21 homolog, bS21-2, impacts the transcriptome and/or proteome of </w:t>
      </w:r>
      <w:r w:rsidRPr="004A4367">
        <w:rPr>
          <w:i/>
          <w:iCs/>
        </w:rPr>
        <w:t>F. tularensis</w:t>
      </w:r>
      <w:r>
        <w:t xml:space="preserve"> cells, whether known virulence genes are impacted, and how this affected intramacrophage replication. We then focused in on the mechanism behind these impacts, looking at what component of bS21-2</w:t>
      </w:r>
      <w:r w:rsidR="00806879">
        <w:t>-</w:t>
      </w:r>
      <w:r>
        <w:t>responsive 5</w:t>
      </w:r>
      <w:r>
        <w:rPr>
          <w:rFonts w:cs="Arial"/>
        </w:rPr>
        <w:t>´</w:t>
      </w:r>
      <w:r>
        <w:t xml:space="preserve"> UTRs are critical for efficient protein production. This research </w:t>
      </w:r>
      <w:r w:rsidR="00487F62">
        <w:t xml:space="preserve">is significant not only in that it </w:t>
      </w:r>
      <w:r>
        <w:t xml:space="preserve">may help improve </w:t>
      </w:r>
      <w:r w:rsidR="00487F62">
        <w:t xml:space="preserve">our </w:t>
      </w:r>
      <w:r>
        <w:t xml:space="preserve">understanding </w:t>
      </w:r>
      <w:r w:rsidR="00487F62">
        <w:t xml:space="preserve">of pathogenicity in </w:t>
      </w:r>
      <w:r w:rsidR="00487F62" w:rsidRPr="00487F62">
        <w:rPr>
          <w:i/>
          <w:iCs/>
        </w:rPr>
        <w:t>F. tularensis</w:t>
      </w:r>
      <w:r w:rsidR="00487F62">
        <w:t>, but also it may reveal a conserved pathway of bS21-driven translation regulation in diverse bacteria.</w:t>
      </w:r>
    </w:p>
    <w:p w14:paraId="7054876B" w14:textId="77777777" w:rsidR="00806879" w:rsidRDefault="00806879" w:rsidP="00FE70D3">
      <w:pPr>
        <w:spacing w:line="480" w:lineRule="auto"/>
        <w:jc w:val="both"/>
      </w:pPr>
    </w:p>
    <w:p w14:paraId="30A8918E" w14:textId="4D3F7B4D" w:rsidR="004A4367" w:rsidRPr="00AD475A" w:rsidRDefault="00AD475A" w:rsidP="00FE70D3">
      <w:pPr>
        <w:spacing w:line="480" w:lineRule="auto"/>
        <w:jc w:val="both"/>
        <w:rPr>
          <w:u w:val="single"/>
        </w:rPr>
      </w:pPr>
      <w:r w:rsidRPr="00AD475A">
        <w:rPr>
          <w:u w:val="single"/>
        </w:rPr>
        <w:t>Chapter 2 Summary:</w:t>
      </w:r>
    </w:p>
    <w:p w14:paraId="72B3AF5B" w14:textId="4F8DF0EA" w:rsidR="00157120" w:rsidRDefault="00531B93" w:rsidP="00FE70D3">
      <w:pPr>
        <w:spacing w:line="480" w:lineRule="auto"/>
        <w:jc w:val="both"/>
      </w:pPr>
      <w:r>
        <w:lastRenderedPageBreak/>
        <w:tab/>
      </w:r>
      <w:r w:rsidR="00874A8B">
        <w:t xml:space="preserve">Our initial research into bS21 in </w:t>
      </w:r>
      <w:r w:rsidR="00874A8B" w:rsidRPr="00874A8B">
        <w:rPr>
          <w:i/>
          <w:iCs/>
        </w:rPr>
        <w:t>F. tularensis</w:t>
      </w:r>
      <w:r w:rsidR="00874A8B">
        <w:t xml:space="preserve"> revealed that </w:t>
      </w:r>
      <w:proofErr w:type="gramStart"/>
      <w:r w:rsidR="00874A8B">
        <w:t>this bacteria</w:t>
      </w:r>
      <w:proofErr w:type="gramEnd"/>
      <w:r w:rsidR="00874A8B">
        <w:t xml:space="preserve">, despite its small genome, encodes three distinct copies of bS21: bS21-1, bS21-2, and bS21-3. </w:t>
      </w:r>
      <w:commentRangeStart w:id="2"/>
      <w:r w:rsidR="00874A8B">
        <w:t>The three genes are found in different genomic locations and have amino acid identities ranging from 48-72%. This led us to hypothesize that ribosomes may be heterogeneous with respect to these bS21 proteins</w:t>
      </w:r>
      <w:commentRangeEnd w:id="2"/>
      <w:r w:rsidR="00806879">
        <w:rPr>
          <w:rStyle w:val="CommentReference"/>
        </w:rPr>
        <w:commentReference w:id="2"/>
      </w:r>
      <w:r w:rsidR="00874A8B">
        <w:t xml:space="preserve">. Through mass spectrometry, we found that purified wild-type ribosomes contain more than one bS21 homolog. Using ectopically expressed VSV-G-tagged bS21 proteins, we confirmed that each bS21 homolog could be incorporated into ribosomes. </w:t>
      </w:r>
      <w:commentRangeStart w:id="3"/>
      <w:r w:rsidR="00874A8B">
        <w:t xml:space="preserve">Specifically, our sucrose sedimentation profiles combined with immunoblot analyses </w:t>
      </w:r>
      <w:commentRangeEnd w:id="3"/>
      <w:r w:rsidR="00806879">
        <w:rPr>
          <w:rStyle w:val="CommentReference"/>
        </w:rPr>
        <w:commentReference w:id="3"/>
      </w:r>
      <w:r w:rsidR="00874A8B">
        <w:t xml:space="preserve">identified each bS21 homolog in 30S, 70S, and polysome particles. Thus we have shown that </w:t>
      </w:r>
      <w:r w:rsidR="00874A8B" w:rsidRPr="00874A8B">
        <w:rPr>
          <w:i/>
          <w:iCs/>
        </w:rPr>
        <w:t>F. tularensis</w:t>
      </w:r>
      <w:r w:rsidR="00874A8B">
        <w:t xml:space="preserve"> wild-type ribosomes can be heterogeneous with respect to bS21 content, and all three bS21 homologs can associate with ribosomes throughout the translation cycle.</w:t>
      </w:r>
    </w:p>
    <w:p w14:paraId="136027E3" w14:textId="084B6483" w:rsidR="00874A8B" w:rsidRDefault="00874A8B" w:rsidP="00FE70D3">
      <w:pPr>
        <w:spacing w:line="480" w:lineRule="auto"/>
        <w:jc w:val="both"/>
      </w:pPr>
      <w:r>
        <w:tab/>
        <w:t>Next we looked at genome-wide impacts on the transcriptome and proteome when bS21 homologs were lost. While deletion of bS21-1 and bS21-3 had no significant impact on protein abundance</w:t>
      </w:r>
      <w:r w:rsidR="0083706B">
        <w:t xml:space="preserve">, cells lacking bS21-2 had significant changes in </w:t>
      </w:r>
      <w:commentRangeStart w:id="4"/>
      <w:r w:rsidR="0083706B">
        <w:t xml:space="preserve">185 proteins. Using RNA-seq, we determined that loss of bS21-2 did lead to changes in 105 genes at the </w:t>
      </w:r>
      <w:commentRangeEnd w:id="4"/>
      <w:r w:rsidR="00806879">
        <w:rPr>
          <w:rStyle w:val="CommentReference"/>
        </w:rPr>
        <w:commentReference w:id="4"/>
      </w:r>
      <w:r w:rsidR="0083706B">
        <w:t>transcript level, but these were not directly correlated with changes in protein abundance. These data suggested that bS21-2 may impact expression of some genes at the level of translation.</w:t>
      </w:r>
    </w:p>
    <w:p w14:paraId="6780AE93" w14:textId="137A8FD1" w:rsidR="00836FEF" w:rsidRDefault="0083706B" w:rsidP="00FE70D3">
      <w:pPr>
        <w:spacing w:line="480" w:lineRule="auto"/>
        <w:jc w:val="both"/>
      </w:pPr>
      <w:r>
        <w:tab/>
        <w:t xml:space="preserve">Amongst the genes that were different at the protein level but not the transcript level were genes encoding the type VI secretion system (T6SS) in </w:t>
      </w:r>
      <w:r w:rsidRPr="0083706B">
        <w:rPr>
          <w:i/>
          <w:iCs/>
        </w:rPr>
        <w:t xml:space="preserve">F. </w:t>
      </w:r>
      <w:r w:rsidRPr="0083706B">
        <w:rPr>
          <w:i/>
          <w:iCs/>
        </w:rPr>
        <w:lastRenderedPageBreak/>
        <w:t>tularensis</w:t>
      </w:r>
      <w:r>
        <w:rPr>
          <w:i/>
          <w:iCs/>
        </w:rPr>
        <w:t xml:space="preserve">, </w:t>
      </w:r>
      <w:r>
        <w:t>known as FPI genes</w:t>
      </w:r>
      <w:r>
        <w:rPr>
          <w:i/>
          <w:iCs/>
        </w:rPr>
        <w:t xml:space="preserve">. </w:t>
      </w:r>
      <w:r>
        <w:t xml:space="preserve">Immunoblot analyses confirmed that these proteins were less abundant in cells lacking bS21-2, and qPCR of purified RNA confirmed no significant difference in transcript abundance was detected of the FPI genes. Ectopic expression of bS21-2 and bS21-3 restored T6SS protein abundance, but expression of bS21-1 did not. This indicated to us that </w:t>
      </w:r>
      <w:r w:rsidR="00836FEF">
        <w:t>mo</w:t>
      </w:r>
      <w:r>
        <w:t>re than one bS21 homolog impacts translation of T6SS proteins.</w:t>
      </w:r>
      <w:r w:rsidR="00836FEF">
        <w:t xml:space="preserve"> </w:t>
      </w:r>
      <w:r>
        <w:t xml:space="preserve">Finally, intramacrophage replication assays revealed that bS21-2 is important for virulence. Loss of bS21-2 led to an intramacrophage growth defect that could be restored by complementation with bS21-2, but not with expression of bS21-1 or bS21-3. </w:t>
      </w:r>
    </w:p>
    <w:p w14:paraId="5C325DCB" w14:textId="4F5BAEC2" w:rsidR="00AD475A" w:rsidRDefault="0083706B" w:rsidP="00836FEF">
      <w:pPr>
        <w:spacing w:line="480" w:lineRule="auto"/>
        <w:ind w:firstLine="720"/>
        <w:jc w:val="both"/>
      </w:pPr>
      <w:r>
        <w:t xml:space="preserve">Altogether, the research described in Chapter 2 showed us that bS21-2 modulates expression of many genes at the protein level, including key virulence genes encoding the T6SS, thereby influencing intramacrophage replication. </w:t>
      </w:r>
      <w:r w:rsidR="00836FEF">
        <w:t>These</w:t>
      </w:r>
      <w:r>
        <w:t xml:space="preserve"> data support our model that bS21-2 specifically </w:t>
      </w:r>
      <w:r w:rsidR="00836FEF">
        <w:t>impacts expression of</w:t>
      </w:r>
      <w:r>
        <w:t xml:space="preserve"> some genes, either directly or indirectly, during translation initiation.</w:t>
      </w:r>
      <w:r w:rsidR="00836FEF">
        <w:t xml:space="preserve"> </w:t>
      </w:r>
      <w:r w:rsidR="00D274AF">
        <w:t xml:space="preserve">Combined with other recent findings of bS21 impacting translation of subsets of mRNA in different bacterial species, our work supports a new model of bS21-driven gene regulation at the level of translation. Further research into this field may reveal that other types of heterogeneous ribosomes can impact different stages of translation to rapidly alter bacteria’s proteome. </w:t>
      </w:r>
      <w:r w:rsidR="00836FEF">
        <w:t>However, the mechanism by which bS21-2 impacts some genes</w:t>
      </w:r>
      <w:r w:rsidR="00D274AF">
        <w:t xml:space="preserve"> in </w:t>
      </w:r>
      <w:r w:rsidR="00D274AF" w:rsidRPr="00D274AF">
        <w:rPr>
          <w:i/>
          <w:iCs/>
        </w:rPr>
        <w:t>F. tularensis</w:t>
      </w:r>
      <w:r w:rsidR="00836FEF">
        <w:t xml:space="preserve"> remain</w:t>
      </w:r>
      <w:r w:rsidR="00D274AF">
        <w:t>ed</w:t>
      </w:r>
      <w:r w:rsidR="00836FEF">
        <w:t xml:space="preserve"> an open question.</w:t>
      </w:r>
    </w:p>
    <w:p w14:paraId="0B4C3906" w14:textId="77777777" w:rsidR="00806879" w:rsidRDefault="00806879" w:rsidP="00836FEF">
      <w:pPr>
        <w:spacing w:line="480" w:lineRule="auto"/>
        <w:ind w:firstLine="720"/>
        <w:jc w:val="both"/>
      </w:pPr>
    </w:p>
    <w:p w14:paraId="5C24F877" w14:textId="58E7E2E6" w:rsidR="00AD475A" w:rsidRPr="00AD475A" w:rsidRDefault="00AD475A" w:rsidP="00FE70D3">
      <w:pPr>
        <w:spacing w:line="480" w:lineRule="auto"/>
        <w:jc w:val="both"/>
        <w:rPr>
          <w:u w:val="single"/>
        </w:rPr>
      </w:pPr>
      <w:r w:rsidRPr="00AD475A">
        <w:rPr>
          <w:u w:val="single"/>
        </w:rPr>
        <w:lastRenderedPageBreak/>
        <w:t>Chapter 3 Summary:</w:t>
      </w:r>
    </w:p>
    <w:p w14:paraId="4A198123" w14:textId="406A9856" w:rsidR="00836FEF" w:rsidRDefault="00836FEF" w:rsidP="00FE70D3">
      <w:pPr>
        <w:spacing w:line="480" w:lineRule="auto"/>
        <w:jc w:val="both"/>
      </w:pPr>
      <w:r>
        <w:tab/>
        <w:t xml:space="preserve">In the next chapter of my research, we investigated the mechanism by which bS21-2-responsive genes were impacted. In </w:t>
      </w:r>
      <w:r w:rsidRPr="00836FEF">
        <w:rPr>
          <w:i/>
          <w:iCs/>
        </w:rPr>
        <w:t>E. coli</w:t>
      </w:r>
      <w:r>
        <w:t xml:space="preserve"> ribosomes, bS21 is positioned in close proximity to the location of the 5</w:t>
      </w:r>
      <w:r>
        <w:rPr>
          <w:rFonts w:cs="Arial"/>
        </w:rPr>
        <w:t>´</w:t>
      </w:r>
      <w:r>
        <w:t xml:space="preserve"> untranslated region (UTR) of the mRNA during translation initiation (</w:t>
      </w:r>
      <w:proofErr w:type="spellStart"/>
      <w:r w:rsidR="00B14E94">
        <w:t>Kaledhonkar</w:t>
      </w:r>
      <w:proofErr w:type="spellEnd"/>
      <w:r w:rsidR="00B14E94">
        <w:t xml:space="preserve"> et al., 2019)</w:t>
      </w:r>
      <w:r w:rsidR="00806879">
        <w:t xml:space="preserve">, leading us to hypothesize that bS21-2 may interact with the </w:t>
      </w:r>
      <w:r w:rsidR="00806879">
        <w:t>5</w:t>
      </w:r>
      <w:r w:rsidR="00806879">
        <w:rPr>
          <w:rFonts w:cs="Arial"/>
        </w:rPr>
        <w:t>´</w:t>
      </w:r>
      <w:r w:rsidR="00806879">
        <w:rPr>
          <w:rFonts w:cs="Arial"/>
        </w:rPr>
        <w:t xml:space="preserve"> UTR of some transcripts</w:t>
      </w:r>
      <w:r w:rsidR="00B14E94">
        <w:t xml:space="preserve">. </w:t>
      </w:r>
      <w:r w:rsidR="00B14E94">
        <w:rPr>
          <w:rFonts w:cs="Arial"/>
        </w:rPr>
        <w:t xml:space="preserve">In at least five bS21-2-responsive genes identified in the proteomics screen in Chapter 2, the predicted or known </w:t>
      </w:r>
      <w:r w:rsidR="00B14E94">
        <w:t>5</w:t>
      </w:r>
      <w:r w:rsidR="00B14E94">
        <w:rPr>
          <w:rFonts w:cs="Arial"/>
        </w:rPr>
        <w:t xml:space="preserve">´ UTR was sufficient to cause decreases in  production </w:t>
      </w:r>
      <w:r w:rsidR="00806879">
        <w:rPr>
          <w:rFonts w:cs="Arial"/>
        </w:rPr>
        <w:t xml:space="preserve">of a reporter protein </w:t>
      </w:r>
      <w:r w:rsidR="00B14E94">
        <w:rPr>
          <w:rFonts w:cs="Arial"/>
        </w:rPr>
        <w:t xml:space="preserve">in a bS21-2 knockout. </w:t>
      </w:r>
      <w:commentRangeStart w:id="5"/>
      <w:r w:rsidR="00B14E94">
        <w:rPr>
          <w:rFonts w:cs="Arial"/>
        </w:rPr>
        <w:t xml:space="preserve">This finding was specific and not found to hold true for all </w:t>
      </w:r>
      <w:r w:rsidR="00B14E94">
        <w:t>5</w:t>
      </w:r>
      <w:r w:rsidR="00B14E94">
        <w:rPr>
          <w:rFonts w:cs="Arial"/>
        </w:rPr>
        <w:t xml:space="preserve">´ UTRs, such as our control gene, </w:t>
      </w:r>
      <w:r w:rsidR="00B14E94" w:rsidRPr="00B14E94">
        <w:rPr>
          <w:rFonts w:cs="Arial"/>
          <w:i/>
          <w:iCs/>
        </w:rPr>
        <w:t>tul4</w:t>
      </w:r>
      <w:r w:rsidR="00B14E94">
        <w:rPr>
          <w:rFonts w:cs="Arial"/>
        </w:rPr>
        <w:t xml:space="preserve">. </w:t>
      </w:r>
      <w:commentRangeEnd w:id="5"/>
      <w:r w:rsidR="00806879">
        <w:rPr>
          <w:rStyle w:val="CommentReference"/>
        </w:rPr>
        <w:commentReference w:id="5"/>
      </w:r>
      <w:r w:rsidR="00B14E94">
        <w:rPr>
          <w:rFonts w:cs="Arial"/>
        </w:rPr>
        <w:t xml:space="preserve">Thus, we concluded that bS21-2 positively impacts translation of some genes by interacting directly or indirectly with the </w:t>
      </w:r>
      <w:r w:rsidR="00B14E94">
        <w:t>5</w:t>
      </w:r>
      <w:r w:rsidR="00B14E94">
        <w:rPr>
          <w:rFonts w:cs="Arial"/>
        </w:rPr>
        <w:t xml:space="preserve">´ UTRs. </w:t>
      </w:r>
    </w:p>
    <w:p w14:paraId="64651947" w14:textId="3F31AA2D" w:rsidR="00836FEF" w:rsidRDefault="00B14E94" w:rsidP="00FE70D3">
      <w:pPr>
        <w:spacing w:line="480" w:lineRule="auto"/>
        <w:jc w:val="both"/>
        <w:rPr>
          <w:rFonts w:cs="Arial"/>
        </w:rPr>
      </w:pPr>
      <w:r>
        <w:tab/>
        <w:t>Our next goal was to identify the aspect of the bS21-2-responsive 5</w:t>
      </w:r>
      <w:r>
        <w:rPr>
          <w:rFonts w:cs="Arial"/>
        </w:rPr>
        <w:t>´ UTRs that drives the altered protein production. Due to the proximity of bS21 to the anti-Shine</w:t>
      </w:r>
      <w:r w:rsidR="00771BC6">
        <w:rPr>
          <w:rFonts w:cs="Arial"/>
        </w:rPr>
        <w:t>-</w:t>
      </w:r>
      <w:r>
        <w:rPr>
          <w:rFonts w:cs="Arial"/>
        </w:rPr>
        <w:t xml:space="preserve">Dalgarno of the 16S rRNA, we made changes to the Shine-Dalgarno (SD) of bS21-2-responsive </w:t>
      </w:r>
      <w:r>
        <w:t>5</w:t>
      </w:r>
      <w:r>
        <w:rPr>
          <w:rFonts w:cs="Arial"/>
        </w:rPr>
        <w:t>´ UTRs. Perfect SD sequences (</w:t>
      </w:r>
      <w:r>
        <w:t>5</w:t>
      </w:r>
      <w:r>
        <w:rPr>
          <w:rFonts w:cs="Arial"/>
        </w:rPr>
        <w:t>´-AGGAGG-</w:t>
      </w:r>
      <w:r>
        <w:t>3</w:t>
      </w:r>
      <w:r>
        <w:rPr>
          <w:rFonts w:cs="Arial"/>
        </w:rPr>
        <w:t>´), regardless of position, led to no difference in protein production between wild-type and bS21-2 mutants. We thereby concluded that ideal SD sequences masked the impacts of bS21-2 on protein production.</w:t>
      </w:r>
    </w:p>
    <w:p w14:paraId="2497C244" w14:textId="75E43065" w:rsidR="00B14E94" w:rsidRDefault="00B14E94" w:rsidP="00FE70D3">
      <w:pPr>
        <w:spacing w:line="480" w:lineRule="auto"/>
        <w:jc w:val="both"/>
        <w:rPr>
          <w:rFonts w:cs="Arial"/>
        </w:rPr>
      </w:pPr>
      <w:r>
        <w:rPr>
          <w:rFonts w:cs="Arial"/>
        </w:rPr>
        <w:tab/>
      </w:r>
      <w:r w:rsidR="00F927AC">
        <w:rPr>
          <w:rFonts w:cs="Arial"/>
        </w:rPr>
        <w:t xml:space="preserve">Moving forward, we expanded our search to other structural and sequence signatures of bS21-2-responsive </w:t>
      </w:r>
      <w:r w:rsidR="00F927AC">
        <w:t>5</w:t>
      </w:r>
      <w:r w:rsidR="00F927AC">
        <w:rPr>
          <w:rFonts w:cs="Arial"/>
        </w:rPr>
        <w:t xml:space="preserve">´ UTRs. We assessed the impacts of </w:t>
      </w:r>
      <w:r w:rsidR="00ED1386">
        <w:rPr>
          <w:rFonts w:cs="Arial"/>
        </w:rPr>
        <w:t xml:space="preserve">predicted </w:t>
      </w:r>
      <w:r w:rsidR="00F927AC">
        <w:rPr>
          <w:rFonts w:cs="Arial"/>
        </w:rPr>
        <w:t>stem-loop structure</w:t>
      </w:r>
      <w:r w:rsidR="005C46A7">
        <w:rPr>
          <w:rFonts w:cs="Arial"/>
        </w:rPr>
        <w:t>s</w:t>
      </w:r>
      <w:r w:rsidR="00F927AC">
        <w:rPr>
          <w:rFonts w:cs="Arial"/>
        </w:rPr>
        <w:t xml:space="preserve"> on the </w:t>
      </w:r>
      <w:r w:rsidR="00F927AC">
        <w:t>5</w:t>
      </w:r>
      <w:r w:rsidR="00F927AC">
        <w:rPr>
          <w:rFonts w:cs="Arial"/>
        </w:rPr>
        <w:t>´ UTR of the gene</w:t>
      </w:r>
      <w:r w:rsidR="005C46A7">
        <w:rPr>
          <w:rFonts w:cs="Arial"/>
        </w:rPr>
        <w:t>s</w:t>
      </w:r>
      <w:r w:rsidR="00F927AC">
        <w:rPr>
          <w:rFonts w:cs="Arial"/>
        </w:rPr>
        <w:t xml:space="preserve"> </w:t>
      </w:r>
      <w:r w:rsidR="00F927AC" w:rsidRPr="00F927AC">
        <w:rPr>
          <w:rFonts w:cs="Arial"/>
          <w:i/>
          <w:iCs/>
        </w:rPr>
        <w:t>pdpA</w:t>
      </w:r>
      <w:r w:rsidR="005C46A7">
        <w:rPr>
          <w:rFonts w:cs="Arial"/>
          <w:i/>
          <w:iCs/>
        </w:rPr>
        <w:t xml:space="preserve"> </w:t>
      </w:r>
      <w:r w:rsidR="005C46A7">
        <w:rPr>
          <w:rFonts w:cs="Arial"/>
        </w:rPr>
        <w:t xml:space="preserve">and </w:t>
      </w:r>
      <w:r w:rsidR="005C46A7">
        <w:rPr>
          <w:rFonts w:cs="Arial"/>
          <w:i/>
          <w:iCs/>
        </w:rPr>
        <w:t>mraY</w:t>
      </w:r>
      <w:r w:rsidR="00F927AC">
        <w:rPr>
          <w:rFonts w:cs="Arial"/>
        </w:rPr>
        <w:t xml:space="preserve">. We found sequence changes that disrupted the stem-loop did not remove the </w:t>
      </w:r>
      <w:r w:rsidR="00F927AC">
        <w:rPr>
          <w:rFonts w:cs="Arial"/>
        </w:rPr>
        <w:lastRenderedPageBreak/>
        <w:t xml:space="preserve">impact of bS21-2 on protein production. We then used STREME software to identify sequence motifs that were enriched in bS21-2-responsive </w:t>
      </w:r>
      <w:r w:rsidR="00F927AC">
        <w:t>5</w:t>
      </w:r>
      <w:r w:rsidR="00F927AC">
        <w:rPr>
          <w:rFonts w:cs="Arial"/>
        </w:rPr>
        <w:t xml:space="preserve">´ UTRs, and found two candidate motifs. However, modifying or removing those motifs in in the </w:t>
      </w:r>
      <w:r w:rsidR="00F927AC" w:rsidRPr="00F927AC">
        <w:rPr>
          <w:rFonts w:cs="Arial"/>
          <w:i/>
          <w:iCs/>
        </w:rPr>
        <w:t>mraY</w:t>
      </w:r>
      <w:r w:rsidR="00F927AC">
        <w:rPr>
          <w:rFonts w:cs="Arial"/>
        </w:rPr>
        <w:t xml:space="preserve"> </w:t>
      </w:r>
      <w:r w:rsidR="00F927AC">
        <w:t>5</w:t>
      </w:r>
      <w:r w:rsidR="00F927AC">
        <w:rPr>
          <w:rFonts w:cs="Arial"/>
        </w:rPr>
        <w:t xml:space="preserve">´ UTR did not change the responsiveness to bS21-2. Finally, we made a series of truncations to the </w:t>
      </w:r>
      <w:r w:rsidR="00F927AC" w:rsidRPr="00F927AC">
        <w:rPr>
          <w:rFonts w:cs="Arial"/>
          <w:i/>
          <w:iCs/>
        </w:rPr>
        <w:t>mraY</w:t>
      </w:r>
      <w:r w:rsidR="00F927AC">
        <w:rPr>
          <w:rFonts w:cs="Arial"/>
        </w:rPr>
        <w:t xml:space="preserve"> </w:t>
      </w:r>
      <w:r w:rsidR="00F927AC">
        <w:t>5</w:t>
      </w:r>
      <w:r w:rsidR="00F927AC">
        <w:rPr>
          <w:rFonts w:cs="Arial"/>
        </w:rPr>
        <w:t>´ UTR and honed in on a 6</w:t>
      </w:r>
      <w:r w:rsidR="00A837B1">
        <w:rPr>
          <w:rFonts w:cs="Arial"/>
        </w:rPr>
        <w:t>-</w:t>
      </w:r>
      <w:r w:rsidR="00F927AC">
        <w:rPr>
          <w:rFonts w:cs="Arial"/>
        </w:rPr>
        <w:t xml:space="preserve">nucleotide sequence, GACUCU, that was </w:t>
      </w:r>
      <w:r w:rsidR="00A152DC">
        <w:rPr>
          <w:rFonts w:cs="Arial"/>
        </w:rPr>
        <w:t>important</w:t>
      </w:r>
      <w:r w:rsidR="00F927AC">
        <w:rPr>
          <w:rFonts w:cs="Arial"/>
        </w:rPr>
        <w:t xml:space="preserve"> for efficient translation by bS21-2. </w:t>
      </w:r>
      <w:commentRangeStart w:id="6"/>
      <w:r w:rsidR="00ED1386">
        <w:rPr>
          <w:rFonts w:cs="Arial"/>
        </w:rPr>
        <w:t xml:space="preserve">Predicted structures of the </w:t>
      </w:r>
      <w:r w:rsidR="00ED1386" w:rsidRPr="00F927AC">
        <w:rPr>
          <w:rFonts w:cs="Arial"/>
          <w:i/>
          <w:iCs/>
        </w:rPr>
        <w:t>mraY</w:t>
      </w:r>
      <w:r w:rsidR="00ED1386">
        <w:rPr>
          <w:rFonts w:cs="Arial"/>
        </w:rPr>
        <w:t xml:space="preserve"> </w:t>
      </w:r>
      <w:r w:rsidR="00ED1386">
        <w:t>5</w:t>
      </w:r>
      <w:r w:rsidR="00ED1386">
        <w:rPr>
          <w:rFonts w:cs="Arial"/>
        </w:rPr>
        <w:t>´ UTR show GACUCU binding to a complementary sequence that is proximal to the Shine</w:t>
      </w:r>
      <w:r w:rsidR="00771BC6">
        <w:rPr>
          <w:rFonts w:cs="Arial"/>
        </w:rPr>
        <w:t>-</w:t>
      </w:r>
      <w:r w:rsidR="00ED1386">
        <w:rPr>
          <w:rFonts w:cs="Arial"/>
        </w:rPr>
        <w:t xml:space="preserve">Dalgarno. Modification of the complementary sequence to disrupt the GACUCU-binding </w:t>
      </w:r>
      <w:r w:rsidR="00A837B1">
        <w:rPr>
          <w:rFonts w:cs="Arial"/>
        </w:rPr>
        <w:t>did not impact responsiveness to bS21-2, indicating that the sequence, not the structure, is important for efficient translation by bS21-2-containing ribosomes.</w:t>
      </w:r>
      <w:commentRangeEnd w:id="6"/>
      <w:r w:rsidR="005C46A7">
        <w:rPr>
          <w:rStyle w:val="CommentReference"/>
        </w:rPr>
        <w:commentReference w:id="6"/>
      </w:r>
    </w:p>
    <w:p w14:paraId="1A6564EF" w14:textId="0BBAAE20" w:rsidR="00B14E94" w:rsidRDefault="00B660EC" w:rsidP="00FE70D3">
      <w:pPr>
        <w:spacing w:line="480" w:lineRule="auto"/>
        <w:jc w:val="both"/>
        <w:rPr>
          <w:rFonts w:cs="Arial"/>
        </w:rPr>
      </w:pPr>
      <w:r>
        <w:tab/>
        <w:t xml:space="preserve">We hypothesized that Hfq, the RNA-binding protein, may be involved in bS21-2-responsive protein production. </w:t>
      </w:r>
      <w:commentRangeStart w:id="7"/>
      <w:r>
        <w:t xml:space="preserve">Immunoblot analyses revealed Hfq is moderately more abundant in bS21-2 mutant cells, and translation from the </w:t>
      </w:r>
      <w:r>
        <w:rPr>
          <w:rFonts w:cs="Arial"/>
          <w:i/>
          <w:iCs/>
        </w:rPr>
        <w:t>hfq</w:t>
      </w:r>
      <w:r>
        <w:rPr>
          <w:rFonts w:cs="Arial"/>
        </w:rPr>
        <w:t xml:space="preserve"> </w:t>
      </w:r>
      <w:r>
        <w:t>5</w:t>
      </w:r>
      <w:r>
        <w:rPr>
          <w:rFonts w:cs="Arial"/>
        </w:rPr>
        <w:t>´ UTR is efficient even when bS21-2 is not present. Loss of Hfq leads to increased production of some T6SS proteins (</w:t>
      </w:r>
      <w:proofErr w:type="gramStart"/>
      <w:r>
        <w:rPr>
          <w:rFonts w:cs="Arial"/>
        </w:rPr>
        <w:t>e.g.</w:t>
      </w:r>
      <w:proofErr w:type="gramEnd"/>
      <w:r>
        <w:rPr>
          <w:rFonts w:cs="Arial"/>
        </w:rPr>
        <w:t xml:space="preserve"> PdpB), while loss of bS21-2 leads to decreased production of those and others (e.g. PdpB, IglB, and Igla). While the </w:t>
      </w:r>
      <w:r>
        <w:t>5</w:t>
      </w:r>
      <w:r>
        <w:rPr>
          <w:rFonts w:cs="Arial"/>
        </w:rPr>
        <w:t xml:space="preserve">´ UTR of </w:t>
      </w:r>
      <w:r w:rsidRPr="00B660EC">
        <w:rPr>
          <w:rFonts w:cs="Arial"/>
          <w:i/>
          <w:iCs/>
        </w:rPr>
        <w:t>pdpA</w:t>
      </w:r>
      <w:r>
        <w:rPr>
          <w:rFonts w:cs="Arial"/>
          <w:i/>
          <w:iCs/>
        </w:rPr>
        <w:t xml:space="preserve"> </w:t>
      </w:r>
      <w:r>
        <w:rPr>
          <w:rFonts w:cs="Arial"/>
        </w:rPr>
        <w:t xml:space="preserve">is sufficient to be responsive to bS21-2, protein production from the </w:t>
      </w:r>
      <w:r w:rsidRPr="00B660EC">
        <w:rPr>
          <w:rFonts w:cs="Arial"/>
          <w:i/>
          <w:iCs/>
        </w:rPr>
        <w:t>pdpA</w:t>
      </w:r>
      <w:r>
        <w:rPr>
          <w:rFonts w:cs="Arial"/>
        </w:rPr>
        <w:t xml:space="preserve"> </w:t>
      </w:r>
      <w:r>
        <w:t>5</w:t>
      </w:r>
      <w:r>
        <w:rPr>
          <w:rFonts w:cs="Arial"/>
        </w:rPr>
        <w:t>´ UTR is not impacted by loss of Hfq. Further</w:t>
      </w:r>
      <w:commentRangeEnd w:id="7"/>
      <w:r w:rsidR="005C46A7">
        <w:rPr>
          <w:rStyle w:val="CommentReference"/>
        </w:rPr>
        <w:commentReference w:id="7"/>
      </w:r>
      <w:r>
        <w:rPr>
          <w:rFonts w:cs="Arial"/>
        </w:rPr>
        <w:t xml:space="preserve">, </w:t>
      </w:r>
      <w:r w:rsidRPr="00B660EC">
        <w:rPr>
          <w:rFonts w:cs="Arial"/>
          <w:i/>
          <w:iCs/>
        </w:rPr>
        <w:t>pdpA</w:t>
      </w:r>
      <w:r>
        <w:rPr>
          <w:rFonts w:cs="Arial"/>
        </w:rPr>
        <w:t xml:space="preserve"> and </w:t>
      </w:r>
      <w:proofErr w:type="spellStart"/>
      <w:r w:rsidRPr="00B660EC">
        <w:rPr>
          <w:rFonts w:cs="Arial"/>
          <w:i/>
          <w:iCs/>
        </w:rPr>
        <w:t>pdpB</w:t>
      </w:r>
      <w:proofErr w:type="spellEnd"/>
      <w:r>
        <w:rPr>
          <w:rFonts w:cs="Arial"/>
        </w:rPr>
        <w:t xml:space="preserve"> transcript abundance is significantly increased in </w:t>
      </w:r>
      <w:r>
        <w:rPr>
          <w:rFonts w:cs="Arial"/>
          <w:i/>
          <w:iCs/>
        </w:rPr>
        <w:t xml:space="preserve">hfq </w:t>
      </w:r>
      <w:r>
        <w:rPr>
          <w:rFonts w:cs="Arial"/>
        </w:rPr>
        <w:t>mutant cells. Together, these data suggest Hfq impacts expression of some genes at the transcript level in a pathway separate from bS21-2.</w:t>
      </w:r>
    </w:p>
    <w:p w14:paraId="13B6C9C9" w14:textId="2338EAD3" w:rsidR="006C33F9" w:rsidRDefault="00A152DC" w:rsidP="00FE70D3">
      <w:pPr>
        <w:spacing w:line="480" w:lineRule="auto"/>
        <w:jc w:val="both"/>
        <w:rPr>
          <w:rFonts w:cs="Arial"/>
        </w:rPr>
      </w:pPr>
      <w:r>
        <w:rPr>
          <w:rFonts w:cs="Arial"/>
        </w:rPr>
        <w:lastRenderedPageBreak/>
        <w:tab/>
        <w:t xml:space="preserve">Our research reveals a specific component of at least one bS21-2-responsive 5´ UTR that is necessary for efficient translation in ribosomes with bS21-2. We are aware of one other study in the literature that identifies specific changes in translation related to bS21 presence, in </w:t>
      </w:r>
      <w:r w:rsidRPr="00A152DC">
        <w:rPr>
          <w:rFonts w:cs="Arial"/>
          <w:i/>
          <w:iCs/>
        </w:rPr>
        <w:t xml:space="preserve">Flavobacterium </w:t>
      </w:r>
      <w:proofErr w:type="spellStart"/>
      <w:r w:rsidRPr="00A152DC">
        <w:rPr>
          <w:rFonts w:cs="Arial"/>
          <w:i/>
          <w:iCs/>
        </w:rPr>
        <w:t>johnsiniae</w:t>
      </w:r>
      <w:proofErr w:type="spellEnd"/>
      <w:r>
        <w:rPr>
          <w:rFonts w:cs="Arial"/>
          <w:i/>
          <w:iCs/>
        </w:rPr>
        <w:t xml:space="preserve">, </w:t>
      </w:r>
      <w:r>
        <w:rPr>
          <w:rFonts w:cs="Arial"/>
        </w:rPr>
        <w:t xml:space="preserve">but the mechanism </w:t>
      </w:r>
      <w:r w:rsidR="00A46709">
        <w:rPr>
          <w:rFonts w:cs="Arial"/>
        </w:rPr>
        <w:t xml:space="preserve">they found </w:t>
      </w:r>
      <w:r>
        <w:rPr>
          <w:rFonts w:cs="Arial"/>
        </w:rPr>
        <w:t xml:space="preserve">differs from </w:t>
      </w:r>
      <w:r w:rsidR="00A46709">
        <w:rPr>
          <w:rFonts w:cs="Arial"/>
        </w:rPr>
        <w:t>what our</w:t>
      </w:r>
      <w:r>
        <w:rPr>
          <w:rFonts w:cs="Arial"/>
        </w:rPr>
        <w:t xml:space="preserve"> </w:t>
      </w:r>
      <w:r w:rsidR="00A46709">
        <w:rPr>
          <w:rFonts w:cs="Arial"/>
        </w:rPr>
        <w:t>investigation revealed</w:t>
      </w:r>
      <w:r>
        <w:rPr>
          <w:rFonts w:cs="Arial"/>
          <w:i/>
          <w:iCs/>
        </w:rPr>
        <w:t xml:space="preserve"> </w:t>
      </w:r>
      <w:r>
        <w:rPr>
          <w:rFonts w:cs="Arial"/>
        </w:rPr>
        <w:t xml:space="preserve">(McNutt et al. 2023). Our work is a stepping stone for the investigation of bS21-mediated translation in species with multiple bS21 homologs, and could be more broadly applied to other r-protein homologs. </w:t>
      </w:r>
      <w:r w:rsidR="00A46709">
        <w:rPr>
          <w:rFonts w:cs="Arial"/>
        </w:rPr>
        <w:t>Still, s</w:t>
      </w:r>
      <w:r>
        <w:rPr>
          <w:rFonts w:cs="Arial"/>
        </w:rPr>
        <w:t xml:space="preserve">ignificant work </w:t>
      </w:r>
      <w:r w:rsidR="00A46709">
        <w:rPr>
          <w:rFonts w:cs="Arial"/>
        </w:rPr>
        <w:t>is needed</w:t>
      </w:r>
      <w:r>
        <w:rPr>
          <w:rFonts w:cs="Arial"/>
        </w:rPr>
        <w:t xml:space="preserve"> to determine </w:t>
      </w:r>
      <w:r w:rsidR="00A46709">
        <w:rPr>
          <w:rFonts w:cs="Arial"/>
        </w:rPr>
        <w:t xml:space="preserve">whether the mechanism identified in </w:t>
      </w:r>
      <w:r w:rsidR="00A46709" w:rsidRPr="00A46709">
        <w:rPr>
          <w:rFonts w:cs="Arial"/>
          <w:i/>
          <w:iCs/>
        </w:rPr>
        <w:t>mraY</w:t>
      </w:r>
      <w:r w:rsidR="00A46709">
        <w:rPr>
          <w:rFonts w:cs="Arial"/>
        </w:rPr>
        <w:t xml:space="preserve"> is applicable to other bS21-2-responsive </w:t>
      </w:r>
      <w:r w:rsidR="00A46709">
        <w:t>5</w:t>
      </w:r>
      <w:r w:rsidR="00A46709">
        <w:rPr>
          <w:rFonts w:cstheme="minorHAnsi"/>
        </w:rPr>
        <w:t xml:space="preserve">´ </w:t>
      </w:r>
      <w:r w:rsidR="00A46709">
        <w:t>UTR</w:t>
      </w:r>
      <w:r w:rsidR="00A46709">
        <w:t>s and to uncover alternate mechanisms that lead to changes in protein production from cells lacking bS21-2.</w:t>
      </w:r>
    </w:p>
    <w:p w14:paraId="0E2CFD59" w14:textId="77777777" w:rsidR="00A152DC" w:rsidRDefault="00A152DC" w:rsidP="00FE70D3">
      <w:pPr>
        <w:spacing w:line="480" w:lineRule="auto"/>
        <w:jc w:val="both"/>
        <w:rPr>
          <w:rFonts w:cs="Arial"/>
        </w:rPr>
      </w:pPr>
    </w:p>
    <w:p w14:paraId="529F1105" w14:textId="0C99FF49" w:rsidR="00805049" w:rsidRDefault="00D274AF" w:rsidP="00FE70D3">
      <w:pPr>
        <w:spacing w:line="480" w:lineRule="auto"/>
        <w:jc w:val="both"/>
        <w:rPr>
          <w:b/>
          <w:bCs/>
        </w:rPr>
      </w:pPr>
      <w:commentRangeStart w:id="8"/>
      <w:r w:rsidRPr="00D274AF">
        <w:rPr>
          <w:b/>
          <w:bCs/>
        </w:rPr>
        <w:t>Open Questions and Future Directions:</w:t>
      </w:r>
      <w:commentRangeEnd w:id="8"/>
      <w:r w:rsidR="00E44DCD">
        <w:rPr>
          <w:rStyle w:val="CommentReference"/>
        </w:rPr>
        <w:commentReference w:id="8"/>
      </w:r>
    </w:p>
    <w:p w14:paraId="64CD01DB" w14:textId="353C00D5" w:rsidR="001E6636" w:rsidRDefault="001E6636" w:rsidP="001E6636">
      <w:pPr>
        <w:spacing w:line="480" w:lineRule="auto"/>
        <w:jc w:val="both"/>
        <w:rPr>
          <w:u w:val="single"/>
        </w:rPr>
      </w:pPr>
      <w:r>
        <w:rPr>
          <w:u w:val="single"/>
        </w:rPr>
        <w:t xml:space="preserve">Open Question 1: Is the mechanism of the </w:t>
      </w:r>
      <w:r w:rsidRPr="001E6636">
        <w:rPr>
          <w:i/>
          <w:iCs/>
          <w:u w:val="single"/>
        </w:rPr>
        <w:t>mraY</w:t>
      </w:r>
      <w:r>
        <w:rPr>
          <w:u w:val="single"/>
        </w:rPr>
        <w:t xml:space="preserve"> </w:t>
      </w:r>
      <w:r w:rsidRPr="001E6636">
        <w:rPr>
          <w:u w:val="single"/>
        </w:rPr>
        <w:t>5</w:t>
      </w:r>
      <w:r w:rsidRPr="001E6636">
        <w:rPr>
          <w:rFonts w:cstheme="minorHAnsi"/>
          <w:u w:val="single"/>
        </w:rPr>
        <w:t xml:space="preserve">´ </w:t>
      </w:r>
      <w:r w:rsidRPr="001E6636">
        <w:rPr>
          <w:u w:val="single"/>
        </w:rPr>
        <w:t>UTR</w:t>
      </w:r>
      <w:r>
        <w:rPr>
          <w:u w:val="single"/>
        </w:rPr>
        <w:t xml:space="preserve"> conserved across all bS21-2-responsive </w:t>
      </w:r>
      <w:r w:rsidRPr="001E6636">
        <w:rPr>
          <w:u w:val="single"/>
        </w:rPr>
        <w:t>5</w:t>
      </w:r>
      <w:r w:rsidRPr="001E6636">
        <w:rPr>
          <w:rFonts w:cstheme="minorHAnsi"/>
          <w:u w:val="single"/>
        </w:rPr>
        <w:t xml:space="preserve">´ </w:t>
      </w:r>
      <w:r w:rsidRPr="001E6636">
        <w:rPr>
          <w:u w:val="single"/>
        </w:rPr>
        <w:t>UTR</w:t>
      </w:r>
      <w:r>
        <w:rPr>
          <w:u w:val="single"/>
        </w:rPr>
        <w:t>s?</w:t>
      </w:r>
    </w:p>
    <w:p w14:paraId="160C614F" w14:textId="36C239B9" w:rsidR="00A837B1" w:rsidRDefault="001E6636" w:rsidP="009A5775">
      <w:pPr>
        <w:spacing w:line="480" w:lineRule="auto"/>
        <w:ind w:firstLine="720"/>
        <w:jc w:val="both"/>
      </w:pPr>
      <w:r>
        <w:t xml:space="preserve">In Chapter 3, we identified the element of  the </w:t>
      </w:r>
      <w:r w:rsidRPr="00157120">
        <w:rPr>
          <w:i/>
          <w:iCs/>
        </w:rPr>
        <w:t>mraY</w:t>
      </w:r>
      <w:r>
        <w:t xml:space="preserve"> 5</w:t>
      </w:r>
      <w:r>
        <w:rPr>
          <w:rFonts w:cstheme="minorHAnsi"/>
        </w:rPr>
        <w:t xml:space="preserve">´ </w:t>
      </w:r>
      <w:r>
        <w:t xml:space="preserve">UTR that </w:t>
      </w:r>
      <w:proofErr w:type="gramStart"/>
      <w:r>
        <w:t>le</w:t>
      </w:r>
      <w:r w:rsidR="009A5775">
        <w:t>a</w:t>
      </w:r>
      <w:r>
        <w:t>d</w:t>
      </w:r>
      <w:proofErr w:type="gramEnd"/>
      <w:r>
        <w:t xml:space="preserve"> to impacts by bS21-2, a short sequence of nucleotides: GACUCU. </w:t>
      </w:r>
      <w:r w:rsidR="00A837B1">
        <w:t>The analyses we have done indicate that GACUCU is necessary for efficient translation by bS21-2-containing ribosomes, but it does not indicate whether this sequence is sufficient to cause changes in translation. In the future, we will add GACUCU to the 5</w:t>
      </w:r>
      <w:r w:rsidR="00A837B1">
        <w:rPr>
          <w:rFonts w:cs="Arial"/>
        </w:rPr>
        <w:t>´</w:t>
      </w:r>
      <w:r w:rsidR="00A837B1">
        <w:t xml:space="preserve"> UTR of a gene not responsive to bS21-2</w:t>
      </w:r>
      <w:r w:rsidR="009A5775">
        <w:t>,</w:t>
      </w:r>
      <w:r w:rsidR="00A837B1">
        <w:t xml:space="preserve"> </w:t>
      </w:r>
      <w:r w:rsidR="009A5775">
        <w:t>choosing a</w:t>
      </w:r>
      <w:r w:rsidR="00A837B1">
        <w:t xml:space="preserve">  5</w:t>
      </w:r>
      <w:r w:rsidR="00A837B1">
        <w:rPr>
          <w:rFonts w:cs="Arial"/>
        </w:rPr>
        <w:t>´</w:t>
      </w:r>
      <w:r w:rsidR="00A837B1">
        <w:t xml:space="preserve"> UTR </w:t>
      </w:r>
      <w:r w:rsidR="00CA19F1">
        <w:t xml:space="preserve">that </w:t>
      </w:r>
      <w:r w:rsidR="00A837B1">
        <w:t>has a weak Shine-Dalgarno to prevent masking of bS21-2’s effects. If addition of GACUCU causes the 5</w:t>
      </w:r>
      <w:r w:rsidR="00A837B1">
        <w:rPr>
          <w:rFonts w:cs="Arial"/>
        </w:rPr>
        <w:t>´</w:t>
      </w:r>
      <w:r w:rsidR="00A837B1">
        <w:t xml:space="preserve"> UTR to respond to bS21-2, it would suggest this </w:t>
      </w:r>
      <w:r w:rsidR="00A837B1">
        <w:lastRenderedPageBreak/>
        <w:t>sequence is both necessary and sufficient to cause changes in translation efficiency based on bS21-2 presence.</w:t>
      </w:r>
    </w:p>
    <w:p w14:paraId="1675FCB4" w14:textId="727DB17A" w:rsidR="001E6636" w:rsidRDefault="00E6028E" w:rsidP="001E6636">
      <w:pPr>
        <w:spacing w:line="480" w:lineRule="auto"/>
        <w:ind w:firstLine="720"/>
        <w:jc w:val="both"/>
      </w:pPr>
      <w:r>
        <w:t>GACUCU was not found in the predicted 5</w:t>
      </w:r>
      <w:r>
        <w:rPr>
          <w:rFonts w:cstheme="minorHAnsi"/>
        </w:rPr>
        <w:t xml:space="preserve">´ </w:t>
      </w:r>
      <w:r>
        <w:t xml:space="preserve">UTR of any other bS21-2-responsive genes, suggesting this finding may be limited to the </w:t>
      </w:r>
      <w:r w:rsidRPr="00157120">
        <w:rPr>
          <w:i/>
          <w:iCs/>
        </w:rPr>
        <w:t>mraY</w:t>
      </w:r>
      <w:r>
        <w:t xml:space="preserve"> 5</w:t>
      </w:r>
      <w:r>
        <w:rPr>
          <w:rFonts w:cstheme="minorHAnsi"/>
        </w:rPr>
        <w:t xml:space="preserve">´ </w:t>
      </w:r>
      <w:r>
        <w:t xml:space="preserve">UTR. </w:t>
      </w:r>
      <w:commentRangeStart w:id="9"/>
      <w:r>
        <w:t xml:space="preserve">We do find marginal enrichment of </w:t>
      </w:r>
      <w:r w:rsidR="00CA19F1">
        <w:t xml:space="preserve">a portion of this sequence, </w:t>
      </w:r>
      <w:r>
        <w:t>CUCU</w:t>
      </w:r>
      <w:r w:rsidR="00CA19F1">
        <w:t>,</w:t>
      </w:r>
      <w:r>
        <w:t xml:space="preserve"> in bS21-2-responsive 5</w:t>
      </w:r>
      <w:r>
        <w:rPr>
          <w:rFonts w:cstheme="minorHAnsi"/>
        </w:rPr>
        <w:t xml:space="preserve">´ </w:t>
      </w:r>
      <w:r>
        <w:t xml:space="preserve">UTRs with weak SDs (31.1%, n=45) compared to genes </w:t>
      </w:r>
      <w:r w:rsidR="00560139">
        <w:t>negatively- or not-impacted by bS21-2</w:t>
      </w:r>
      <w:r>
        <w:t xml:space="preserve"> (26.9%, n=67</w:t>
      </w:r>
      <w:r w:rsidR="00560139">
        <w:t xml:space="preserve"> combined</w:t>
      </w:r>
      <w:r>
        <w:t>). It may be that some of these bS21-2-responsive 5</w:t>
      </w:r>
      <w:r>
        <w:rPr>
          <w:rFonts w:cstheme="minorHAnsi"/>
        </w:rPr>
        <w:t xml:space="preserve">´ </w:t>
      </w:r>
      <w:r>
        <w:t xml:space="preserve">UTRs are regulated in different ways, making it difficult to find a single sequence motif that is broadly applicable. </w:t>
      </w:r>
      <w:commentRangeEnd w:id="9"/>
      <w:r w:rsidR="00CA19F1">
        <w:rPr>
          <w:rStyle w:val="CommentReference"/>
        </w:rPr>
        <w:commentReference w:id="9"/>
      </w:r>
      <w:r>
        <w:t>Alternatively, this may be because our</w:t>
      </w:r>
      <w:r w:rsidR="001E6636">
        <w:t xml:space="preserve"> recent approach to identifying key elements of bS21-2-responsive 5</w:t>
      </w:r>
      <w:r w:rsidR="001E6636">
        <w:rPr>
          <w:rFonts w:cstheme="minorHAnsi"/>
        </w:rPr>
        <w:t xml:space="preserve">´ </w:t>
      </w:r>
      <w:r w:rsidR="001E6636">
        <w:t xml:space="preserve">UTRs  was limited by the poor annotation of transcription start sites in the </w:t>
      </w:r>
      <w:r w:rsidR="001E6636" w:rsidRPr="00157120">
        <w:rPr>
          <w:i/>
          <w:iCs/>
        </w:rPr>
        <w:t>F. tularensis</w:t>
      </w:r>
      <w:r w:rsidR="001E6636">
        <w:t xml:space="preserve"> genome. </w:t>
      </w:r>
      <w:r w:rsidR="00CA19F1">
        <w:t>Th</w:t>
      </w:r>
      <w:r w:rsidR="001E6636">
        <w:t>e majority of 5</w:t>
      </w:r>
      <w:r w:rsidR="001E6636">
        <w:rPr>
          <w:rFonts w:cstheme="minorHAnsi"/>
        </w:rPr>
        <w:t xml:space="preserve">´ </w:t>
      </w:r>
      <w:r w:rsidR="001E6636">
        <w:t>UTRs that we have analyzed in our motif analyses and reporter assays have used predicted 5</w:t>
      </w:r>
      <w:r w:rsidR="001E6636">
        <w:rPr>
          <w:rFonts w:cstheme="minorHAnsi"/>
        </w:rPr>
        <w:t xml:space="preserve">´ </w:t>
      </w:r>
      <w:r w:rsidR="001E6636">
        <w:t xml:space="preserve">UTRs including 100 </w:t>
      </w:r>
      <w:proofErr w:type="spellStart"/>
      <w:r w:rsidR="001E6636">
        <w:t>nts</w:t>
      </w:r>
      <w:proofErr w:type="spellEnd"/>
      <w:r w:rsidR="001E6636">
        <w:t xml:space="preserve"> upstream of the start codon. Previously published transcription </w:t>
      </w:r>
      <w:proofErr w:type="gramStart"/>
      <w:r w:rsidR="001E6636">
        <w:t>start</w:t>
      </w:r>
      <w:proofErr w:type="gramEnd"/>
      <w:r w:rsidR="001E6636">
        <w:t xml:space="preserve"> site (TSS) mapping of 110 high</w:t>
      </w:r>
      <w:r w:rsidR="00CA19F1">
        <w:t>-</w:t>
      </w:r>
      <w:r w:rsidR="001E6636">
        <w:t xml:space="preserve">quality TSSs found that 19% were </w:t>
      </w:r>
      <w:r w:rsidR="001E6636" w:rsidRPr="004B5499">
        <w:rPr>
          <w:i/>
          <w:iCs/>
        </w:rPr>
        <w:t>more</w:t>
      </w:r>
      <w:r w:rsidR="001E6636">
        <w:t xml:space="preserve"> than 100 nucleotides upstream of the translation start site (Ramsey et al. 2015). Thus, it is likely that a significant portion of our predicted 5</w:t>
      </w:r>
      <w:r w:rsidR="001E6636">
        <w:rPr>
          <w:rFonts w:cstheme="minorHAnsi"/>
        </w:rPr>
        <w:t xml:space="preserve">´ </w:t>
      </w:r>
      <w:r w:rsidR="001E6636">
        <w:t>UTRs were smaller than would occur in the native</w:t>
      </w:r>
      <w:r w:rsidR="00CA19F1">
        <w:t xml:space="preserve"> context</w:t>
      </w:r>
      <w:r w:rsidR="001E6636">
        <w:t xml:space="preserve">. We plan to collaborate with </w:t>
      </w:r>
      <w:commentRangeStart w:id="10"/>
      <w:r w:rsidR="001E6636">
        <w:t>other researchers to complete comprehensive TSS-mapping through specialized RNA-seq</w:t>
      </w:r>
      <w:commentRangeEnd w:id="10"/>
      <w:r w:rsidR="00F44B65">
        <w:rPr>
          <w:rStyle w:val="CommentReference"/>
        </w:rPr>
        <w:commentReference w:id="10"/>
      </w:r>
      <w:r w:rsidR="001E6636">
        <w:t>. We hope that a larger number of TSSs will be identified and provide us with more accurate 5</w:t>
      </w:r>
      <w:r w:rsidR="001E6636">
        <w:rPr>
          <w:rFonts w:cstheme="minorHAnsi"/>
        </w:rPr>
        <w:t xml:space="preserve">´ </w:t>
      </w:r>
      <w:r w:rsidR="001E6636">
        <w:t>UTRs.</w:t>
      </w:r>
    </w:p>
    <w:p w14:paraId="58D528CC" w14:textId="6F091D15" w:rsidR="0027656F" w:rsidRDefault="001E6636" w:rsidP="0027656F">
      <w:pPr>
        <w:spacing w:line="480" w:lineRule="auto"/>
        <w:ind w:firstLine="720"/>
        <w:jc w:val="both"/>
      </w:pPr>
      <w:r>
        <w:t>With well-defined 5</w:t>
      </w:r>
      <w:r>
        <w:rPr>
          <w:rFonts w:cstheme="minorHAnsi"/>
        </w:rPr>
        <w:t xml:space="preserve">´ </w:t>
      </w:r>
      <w:r>
        <w:t>UTRs across the genome, we hope to have more statistical power in our descriptive analyses of bS21-2-responsive 5</w:t>
      </w:r>
      <w:r>
        <w:rPr>
          <w:rFonts w:cstheme="minorHAnsi"/>
        </w:rPr>
        <w:t xml:space="preserve">´ </w:t>
      </w:r>
      <w:r>
        <w:t xml:space="preserve">UTRs. </w:t>
      </w:r>
      <w:r>
        <w:lastRenderedPageBreak/>
        <w:t>Specifically, we can compare the 5</w:t>
      </w:r>
      <w:r>
        <w:rPr>
          <w:rFonts w:cstheme="minorHAnsi"/>
        </w:rPr>
        <w:t xml:space="preserve">´ </w:t>
      </w:r>
      <w:r>
        <w:t xml:space="preserve">UTR length, GC content, and purine content of genes impacted by bS21-2 or not impacted, based on the proteomics screen from Chapter 2. This may reveal trends that have so far been masked </w:t>
      </w:r>
      <w:r w:rsidR="00CA19F1">
        <w:t>due to our inaccurate predictions</w:t>
      </w:r>
      <w:r>
        <w:t>. Additionally, while we did not find GACUCU in other bS21-2-impacted 5</w:t>
      </w:r>
      <w:r>
        <w:rPr>
          <w:rFonts w:cstheme="minorHAnsi"/>
        </w:rPr>
        <w:t xml:space="preserve">´ </w:t>
      </w:r>
      <w:r>
        <w:t xml:space="preserve">UTRs, it is possible </w:t>
      </w:r>
      <w:r w:rsidR="00CA19F1">
        <w:t xml:space="preserve">we could find enrichment of this sequence, or a portion of it, in full-length </w:t>
      </w:r>
      <w:r w:rsidR="00CA19F1">
        <w:t>5</w:t>
      </w:r>
      <w:r w:rsidR="00CA19F1">
        <w:rPr>
          <w:rFonts w:cstheme="minorHAnsi"/>
        </w:rPr>
        <w:t>´</w:t>
      </w:r>
      <w:r w:rsidR="00CA19F1">
        <w:rPr>
          <w:rFonts w:cstheme="minorHAnsi"/>
        </w:rPr>
        <w:t xml:space="preserve"> </w:t>
      </w:r>
      <w:r w:rsidR="00CA19F1">
        <w:t>UTRs once they are known</w:t>
      </w:r>
      <w:r>
        <w:t xml:space="preserve">. </w:t>
      </w:r>
      <w:r w:rsidR="00A837B1">
        <w:t>Otherwise,</w:t>
      </w:r>
      <w:r>
        <w:t xml:space="preserve"> we can re-run the motif-finding analyses described in Chapter 3 with a more comprehensive list of known 5</w:t>
      </w:r>
      <w:r>
        <w:rPr>
          <w:rFonts w:cstheme="minorHAnsi"/>
        </w:rPr>
        <w:t xml:space="preserve">´ </w:t>
      </w:r>
      <w:r>
        <w:t>UTRs to reveal new motifs that may be more broadly conserved among bS21-2-impacted 5</w:t>
      </w:r>
      <w:r>
        <w:rPr>
          <w:rFonts w:cstheme="minorHAnsi"/>
        </w:rPr>
        <w:t xml:space="preserve">´ </w:t>
      </w:r>
      <w:r>
        <w:t>UTRs.</w:t>
      </w:r>
    </w:p>
    <w:p w14:paraId="399A45FC" w14:textId="77777777" w:rsidR="006768B1" w:rsidRDefault="006768B1" w:rsidP="00D274AF">
      <w:pPr>
        <w:spacing w:line="480" w:lineRule="auto"/>
        <w:jc w:val="both"/>
      </w:pPr>
    </w:p>
    <w:p w14:paraId="0AE35203" w14:textId="3DB0903D" w:rsidR="00D274AF" w:rsidRDefault="001E6636" w:rsidP="00D274AF">
      <w:pPr>
        <w:spacing w:line="480" w:lineRule="auto"/>
        <w:jc w:val="both"/>
        <w:rPr>
          <w:u w:val="single"/>
        </w:rPr>
      </w:pPr>
      <w:r>
        <w:rPr>
          <w:u w:val="single"/>
        </w:rPr>
        <w:t xml:space="preserve">Open </w:t>
      </w:r>
      <w:r w:rsidR="00D274AF" w:rsidRPr="00D274AF">
        <w:rPr>
          <w:u w:val="single"/>
        </w:rPr>
        <w:t xml:space="preserve">Question </w:t>
      </w:r>
      <w:r>
        <w:rPr>
          <w:u w:val="single"/>
        </w:rPr>
        <w:t>2</w:t>
      </w:r>
      <w:r w:rsidR="00D274AF" w:rsidRPr="00D274AF">
        <w:rPr>
          <w:u w:val="single"/>
        </w:rPr>
        <w:t>: What other mechanisms contribute to changes in protein expression</w:t>
      </w:r>
      <w:r>
        <w:rPr>
          <w:u w:val="single"/>
        </w:rPr>
        <w:t xml:space="preserve"> in cells lacking bS21-2</w:t>
      </w:r>
      <w:r w:rsidR="00D274AF" w:rsidRPr="00D274AF">
        <w:rPr>
          <w:u w:val="single"/>
        </w:rPr>
        <w:t>?</w:t>
      </w:r>
    </w:p>
    <w:p w14:paraId="5085950F" w14:textId="60FC15FD" w:rsidR="004B5499" w:rsidRDefault="00D274AF" w:rsidP="00D274AF">
      <w:pPr>
        <w:spacing w:line="480" w:lineRule="auto"/>
        <w:ind w:firstLine="720"/>
        <w:jc w:val="both"/>
      </w:pPr>
      <w:r>
        <w:t>Our investigation into the mechanism of bS21-2 impacting protein abundance focused on the 5</w:t>
      </w:r>
      <w:r>
        <w:rPr>
          <w:rFonts w:cstheme="minorHAnsi"/>
        </w:rPr>
        <w:t xml:space="preserve">´ </w:t>
      </w:r>
      <w:r>
        <w:t>UTRs of bS21-2-responsive genes. Indeed, we found that the 5</w:t>
      </w:r>
      <w:r>
        <w:rPr>
          <w:rFonts w:cstheme="minorHAnsi"/>
        </w:rPr>
        <w:t xml:space="preserve">´ </w:t>
      </w:r>
      <w:r>
        <w:t>UTR</w:t>
      </w:r>
      <w:r w:rsidR="00226862">
        <w:t>s</w:t>
      </w:r>
      <w:r>
        <w:t xml:space="preserve"> of several genes was sufficient to cause changes in protein production (Chapter 3, Figure 1B). However, some genes including FTL_0881 and FTL_0215 were found to be different at the protein level in the proteomics screen (Chapter 2, Figure</w:t>
      </w:r>
      <w:r w:rsidR="004B5499">
        <w:t xml:space="preserve"> 2; Supplemental File 3)</w:t>
      </w:r>
      <w:r w:rsidR="00226862">
        <w:t>,</w:t>
      </w:r>
      <w:r w:rsidR="004B5499">
        <w:t xml:space="preserve"> </w:t>
      </w:r>
      <w:r>
        <w:t>but the 5</w:t>
      </w:r>
      <w:r>
        <w:rPr>
          <w:rFonts w:cstheme="minorHAnsi"/>
        </w:rPr>
        <w:t xml:space="preserve">´ </w:t>
      </w:r>
      <w:r>
        <w:t xml:space="preserve">UTRs </w:t>
      </w:r>
      <w:r w:rsidR="00226862">
        <w:t>were not</w:t>
      </w:r>
      <w:r>
        <w:t xml:space="preserve"> impacted by loss of bS21-2 in our reporter assays</w:t>
      </w:r>
      <w:r w:rsidR="004B5499">
        <w:t xml:space="preserve"> (Chapter 3, Supplemental Figure 2)</w:t>
      </w:r>
      <w:r>
        <w:t>. One possib</w:t>
      </w:r>
      <w:r w:rsidR="004B5499">
        <w:t>le explanation</w:t>
      </w:r>
      <w:r>
        <w:t xml:space="preserve"> is that our predicted 5</w:t>
      </w:r>
      <w:r>
        <w:rPr>
          <w:rFonts w:cstheme="minorHAnsi"/>
        </w:rPr>
        <w:t xml:space="preserve">´ </w:t>
      </w:r>
      <w:r>
        <w:t>UTR is inaccurate and is missing the regulatory element</w:t>
      </w:r>
      <w:r w:rsidR="004B5499">
        <w:t>.</w:t>
      </w:r>
      <w:r w:rsidR="001E6636">
        <w:t xml:space="preserve"> As mentioned, we plan </w:t>
      </w:r>
      <w:r w:rsidR="00226862">
        <w:t xml:space="preserve">to map transcription start sites across the genome to get more accurate predictions of </w:t>
      </w:r>
      <w:r w:rsidR="00226862">
        <w:t>5</w:t>
      </w:r>
      <w:r w:rsidR="00226862">
        <w:rPr>
          <w:rFonts w:cstheme="minorHAnsi"/>
        </w:rPr>
        <w:t xml:space="preserve">´ </w:t>
      </w:r>
      <w:r w:rsidR="00226862">
        <w:t>UTR</w:t>
      </w:r>
      <w:r w:rsidR="00226862">
        <w:t>s</w:t>
      </w:r>
      <w:r w:rsidR="001E6636">
        <w:t xml:space="preserve">. </w:t>
      </w:r>
      <w:r w:rsidR="00877294">
        <w:t xml:space="preserve">It is possible that with correct FTL_0881 and FTL_0215 </w:t>
      </w:r>
      <w:r w:rsidR="00877294">
        <w:lastRenderedPageBreak/>
        <w:t>5</w:t>
      </w:r>
      <w:r w:rsidR="00877294">
        <w:rPr>
          <w:rFonts w:cstheme="minorHAnsi"/>
        </w:rPr>
        <w:t xml:space="preserve">´ </w:t>
      </w:r>
      <w:r w:rsidR="00877294">
        <w:t>UTRs, we will see impacts from bS21-2 that are consistent with the proteomics screen.</w:t>
      </w:r>
    </w:p>
    <w:p w14:paraId="5CC4B853" w14:textId="5B0775D7" w:rsidR="00CE0196" w:rsidRDefault="004A7B0C" w:rsidP="00D274AF">
      <w:pPr>
        <w:spacing w:line="480" w:lineRule="auto"/>
        <w:ind w:firstLine="720"/>
        <w:jc w:val="both"/>
      </w:pPr>
      <w:r>
        <w:t>Alternatively, t</w:t>
      </w:r>
      <w:r w:rsidR="00877294">
        <w:t xml:space="preserve">he lack of response of some </w:t>
      </w:r>
      <w:r w:rsidR="00CE0196">
        <w:t>5</w:t>
      </w:r>
      <w:r w:rsidR="00CE0196">
        <w:rPr>
          <w:rFonts w:cstheme="minorHAnsi"/>
        </w:rPr>
        <w:t xml:space="preserve">´ </w:t>
      </w:r>
      <w:r w:rsidR="00CE0196">
        <w:t xml:space="preserve">UTRs to bS21-2 </w:t>
      </w:r>
      <w:r w:rsidR="00D274AF">
        <w:t xml:space="preserve">may </w:t>
      </w:r>
      <w:r w:rsidR="00CE0196">
        <w:t xml:space="preserve">suggest there are </w:t>
      </w:r>
      <w:r w:rsidR="00D274AF">
        <w:t>other regulatory mechanisms outside of the 5</w:t>
      </w:r>
      <w:r w:rsidR="00D274AF">
        <w:rPr>
          <w:rFonts w:cstheme="minorHAnsi"/>
        </w:rPr>
        <w:t xml:space="preserve">´ </w:t>
      </w:r>
      <w:r w:rsidR="00D274AF">
        <w:t xml:space="preserve">UTRs that impact expression of these genes. </w:t>
      </w:r>
      <w:commentRangeStart w:id="11"/>
      <w:r w:rsidR="00D274AF">
        <w:t xml:space="preserve">Specifically, there may be downstream effects of other regulators that are impacted by bS21-2. </w:t>
      </w:r>
      <w:commentRangeEnd w:id="11"/>
      <w:r>
        <w:rPr>
          <w:rStyle w:val="CommentReference"/>
        </w:rPr>
        <w:commentReference w:id="11"/>
      </w:r>
      <w:r w:rsidR="00D274AF">
        <w:t xml:space="preserve">For instance, there may be differences in protein stability of FTL_0881 or FTL_0215 in bS21-2 mutant cells, due to </w:t>
      </w:r>
      <w:r w:rsidR="00D274AF" w:rsidRPr="00FE70D3">
        <w:rPr>
          <w:rFonts w:cs="Arial"/>
        </w:rPr>
        <w:t>changes in proteases</w:t>
      </w:r>
      <w:r w:rsidR="00CE0196">
        <w:rPr>
          <w:rFonts w:cs="Arial"/>
        </w:rPr>
        <w:t xml:space="preserve"> or </w:t>
      </w:r>
      <w:r w:rsidR="00D274AF" w:rsidRPr="00FE70D3">
        <w:rPr>
          <w:rFonts w:cs="Arial"/>
        </w:rPr>
        <w:t>protein</w:t>
      </w:r>
      <w:r w:rsidR="00CE0196">
        <w:rPr>
          <w:rFonts w:cs="Arial"/>
        </w:rPr>
        <w:t>-</w:t>
      </w:r>
      <w:r w:rsidR="00D274AF" w:rsidRPr="00FE70D3">
        <w:rPr>
          <w:rFonts w:cs="Arial"/>
        </w:rPr>
        <w:t xml:space="preserve">processing </w:t>
      </w:r>
      <w:r w:rsidR="00CE0196">
        <w:rPr>
          <w:rFonts w:cs="Arial"/>
        </w:rPr>
        <w:t>genes</w:t>
      </w:r>
      <w:r w:rsidR="00D274AF" w:rsidRPr="00FE70D3">
        <w:rPr>
          <w:rFonts w:cs="Arial"/>
        </w:rPr>
        <w:t>. Several proteases and peptidases were found differentially abundant in our genome-wide screens of ΔbS21-2</w:t>
      </w:r>
      <w:r w:rsidR="00CE0196">
        <w:rPr>
          <w:rFonts w:cs="Arial"/>
        </w:rPr>
        <w:t xml:space="preserve"> at either the transcript or protein level. These include</w:t>
      </w:r>
      <w:r w:rsidR="00D274AF" w:rsidRPr="00FE70D3">
        <w:rPr>
          <w:rFonts w:cs="Arial"/>
        </w:rPr>
        <w:t xml:space="preserve"> </w:t>
      </w:r>
      <w:r w:rsidR="00D274AF" w:rsidRPr="00FE70D3">
        <w:rPr>
          <w:rFonts w:cs="Arial"/>
          <w:color w:val="000000"/>
          <w:szCs w:val="24"/>
        </w:rPr>
        <w:t xml:space="preserve">pyrrolidone-carboxylate peptidase (FTL_0207), an uncharacterized peptidase (FTL_0008), peptidase M16 family proteins (FTL_1482 and 1483) and ATP-dependent proteases </w:t>
      </w:r>
      <w:proofErr w:type="spellStart"/>
      <w:r w:rsidR="00D274AF">
        <w:rPr>
          <w:rFonts w:cs="Arial"/>
          <w:color w:val="000000"/>
          <w:szCs w:val="24"/>
        </w:rPr>
        <w:t>H</w:t>
      </w:r>
      <w:r w:rsidR="00D274AF" w:rsidRPr="00FE70D3">
        <w:rPr>
          <w:rFonts w:cs="Arial"/>
          <w:color w:val="000000"/>
          <w:szCs w:val="24"/>
        </w:rPr>
        <w:t>slU</w:t>
      </w:r>
      <w:proofErr w:type="spellEnd"/>
      <w:r w:rsidR="00D274AF" w:rsidRPr="00FE70D3">
        <w:rPr>
          <w:rFonts w:cs="Arial"/>
          <w:color w:val="000000"/>
          <w:szCs w:val="24"/>
        </w:rPr>
        <w:t xml:space="preserve"> and </w:t>
      </w:r>
      <w:proofErr w:type="spellStart"/>
      <w:r w:rsidR="00D274AF">
        <w:rPr>
          <w:rFonts w:cs="Arial"/>
          <w:color w:val="000000"/>
          <w:szCs w:val="24"/>
        </w:rPr>
        <w:t>H</w:t>
      </w:r>
      <w:r w:rsidR="00D274AF" w:rsidRPr="00FE70D3">
        <w:rPr>
          <w:rFonts w:cs="Arial"/>
          <w:color w:val="000000"/>
          <w:szCs w:val="24"/>
        </w:rPr>
        <w:t>slV</w:t>
      </w:r>
      <w:proofErr w:type="spellEnd"/>
      <w:r w:rsidR="00D274AF" w:rsidRPr="00FE70D3">
        <w:rPr>
          <w:rFonts w:cs="Arial"/>
          <w:color w:val="000000"/>
          <w:szCs w:val="24"/>
        </w:rPr>
        <w:t xml:space="preserve"> (FTL_0964 and 0965)</w:t>
      </w:r>
      <w:r w:rsidR="00D274AF">
        <w:rPr>
          <w:rFonts w:cs="Arial"/>
          <w:color w:val="000000"/>
          <w:szCs w:val="24"/>
        </w:rPr>
        <w:t>,</w:t>
      </w:r>
      <w:r w:rsidR="00D274AF" w:rsidRPr="00FE70D3">
        <w:rPr>
          <w:rFonts w:cs="Arial"/>
        </w:rPr>
        <w:t xml:space="preserve"> which could impact protein stability and function. </w:t>
      </w:r>
      <w:r w:rsidR="00CE0196">
        <w:rPr>
          <w:rFonts w:cs="Arial"/>
        </w:rPr>
        <w:t xml:space="preserve">While we assessed protein stability in Chapter 2 (Figure S5), we only determined that the half-life of PdpB was unaffected by loss of bS21-2. Given that the </w:t>
      </w:r>
      <w:r w:rsidR="00CE0196">
        <w:t>5</w:t>
      </w:r>
      <w:r w:rsidR="00CE0196">
        <w:rPr>
          <w:rFonts w:cstheme="minorHAnsi"/>
        </w:rPr>
        <w:t xml:space="preserve">´ </w:t>
      </w:r>
      <w:r w:rsidR="00CE0196">
        <w:t xml:space="preserve">UTR of </w:t>
      </w:r>
      <w:proofErr w:type="spellStart"/>
      <w:r w:rsidR="00CE0196" w:rsidRPr="00CE0196">
        <w:rPr>
          <w:i/>
          <w:iCs/>
        </w:rPr>
        <w:t>pdpB</w:t>
      </w:r>
      <w:proofErr w:type="spellEnd"/>
      <w:r w:rsidR="00CE0196">
        <w:t xml:space="preserve"> is responsive to bS21-2, it is possible that FTL_0881 and FTL_0215 may be impacted by a different mechanism. Further analyses of protein stability of more genes may reveal post-translational</w:t>
      </w:r>
      <w:r>
        <w:t xml:space="preserve"> </w:t>
      </w:r>
      <w:r w:rsidR="00CE0196">
        <w:t xml:space="preserve">impacts of bS21-2. If this is the case, </w:t>
      </w:r>
      <w:r>
        <w:t xml:space="preserve">protein abundance </w:t>
      </w:r>
      <w:r>
        <w:t>of genes with variable protein stability may be assessed in the context of candidate protease knockouts or complementation to d</w:t>
      </w:r>
      <w:commentRangeStart w:id="12"/>
      <w:r>
        <w:t xml:space="preserve">etermine the mechanism of proteolysis. </w:t>
      </w:r>
      <w:commentRangeEnd w:id="12"/>
      <w:r>
        <w:rPr>
          <w:rStyle w:val="CommentReference"/>
        </w:rPr>
        <w:commentReference w:id="12"/>
      </w:r>
    </w:p>
    <w:p w14:paraId="02E3CB3A" w14:textId="36E831EC" w:rsidR="00D274AF" w:rsidRDefault="00CE0196" w:rsidP="00CF0459">
      <w:pPr>
        <w:spacing w:line="480" w:lineRule="auto"/>
        <w:ind w:firstLine="720"/>
        <w:jc w:val="both"/>
      </w:pPr>
      <w:r>
        <w:rPr>
          <w:rFonts w:cs="Arial"/>
        </w:rPr>
        <w:lastRenderedPageBreak/>
        <w:t xml:space="preserve">In addition to </w:t>
      </w:r>
      <w:r w:rsidR="00005A8E">
        <w:rPr>
          <w:rFonts w:cs="Arial"/>
        </w:rPr>
        <w:t>proteases</w:t>
      </w:r>
      <w:r>
        <w:rPr>
          <w:rFonts w:cs="Arial"/>
        </w:rPr>
        <w:t>, there may be bS21-2-responsive gene regulators that lead to downstream effects. For instance, w</w:t>
      </w:r>
      <w:r w:rsidR="00D274AF" w:rsidRPr="00FE70D3">
        <w:rPr>
          <w:rFonts w:cs="Arial"/>
        </w:rPr>
        <w:t>e have documented changes in abundance of the RNA chaperon</w:t>
      </w:r>
      <w:r w:rsidR="00D274AF">
        <w:rPr>
          <w:rFonts w:cs="Arial"/>
        </w:rPr>
        <w:t>e</w:t>
      </w:r>
      <w:r w:rsidR="00D274AF" w:rsidRPr="00FE70D3">
        <w:rPr>
          <w:rFonts w:cs="Arial"/>
        </w:rPr>
        <w:t xml:space="preserve"> Hfq in ΔbS21-2 cells. While our Hfq analyses focused on impacts</w:t>
      </w:r>
      <w:r w:rsidR="00D274AF">
        <w:t xml:space="preserve"> on the FPI genes, there may be downstream effects on other genes that could be impacting </w:t>
      </w:r>
      <w:r w:rsidR="00005A8E">
        <w:t>translation initiation</w:t>
      </w:r>
      <w:r w:rsidR="00D274AF">
        <w:t xml:space="preserve">. </w:t>
      </w:r>
      <w:proofErr w:type="spellStart"/>
      <w:r>
        <w:t>ChIP</w:t>
      </w:r>
      <w:proofErr w:type="spellEnd"/>
      <w:r>
        <w:t xml:space="preserve">-seq of tagged Hfq in the presence or absence of rifampicin (termed </w:t>
      </w:r>
      <w:proofErr w:type="spellStart"/>
      <w:r>
        <w:t>ChIPPAR</w:t>
      </w:r>
      <w:proofErr w:type="spellEnd"/>
      <w:r>
        <w:t>-seq</w:t>
      </w:r>
      <w:r w:rsidR="00CF0459">
        <w:t>; Kambara et al. 2018</w:t>
      </w:r>
      <w:r>
        <w:t xml:space="preserve">) </w:t>
      </w:r>
      <w:commentRangeStart w:id="13"/>
      <w:r>
        <w:t xml:space="preserve">would reveal genes that Hfq </w:t>
      </w:r>
      <w:r w:rsidR="00CF0459">
        <w:t>binds to and regulates co-transcriptionally</w:t>
      </w:r>
      <w:commentRangeEnd w:id="13"/>
      <w:r w:rsidR="00456A14">
        <w:rPr>
          <w:rStyle w:val="CommentReference"/>
        </w:rPr>
        <w:commentReference w:id="13"/>
      </w:r>
      <w:r>
        <w:t>.</w:t>
      </w:r>
      <w:r w:rsidR="00CF0459">
        <w:t xml:space="preserve"> By utilizing this strategy in wild-type and the bS21-2 knockout, we would be able to identify downstream impacts of bS21-2</w:t>
      </w:r>
      <w:r w:rsidR="00005A8E">
        <w:t xml:space="preserve"> occurring</w:t>
      </w:r>
      <w:r w:rsidR="00CF0459">
        <w:t xml:space="preserve"> </w:t>
      </w:r>
      <w:r w:rsidR="00005A8E">
        <w:t>via</w:t>
      </w:r>
      <w:r w:rsidR="00CF0459">
        <w:t xml:space="preserve"> an Hfq mechanism. </w:t>
      </w:r>
      <w:commentRangeStart w:id="14"/>
      <w:r w:rsidR="00CF0459">
        <w:t xml:space="preserve">Other regulators may also be impacted </w:t>
      </w:r>
      <w:commentRangeEnd w:id="14"/>
      <w:r w:rsidR="00C164C8">
        <w:rPr>
          <w:rStyle w:val="CommentReference"/>
        </w:rPr>
        <w:commentReference w:id="14"/>
      </w:r>
      <w:r w:rsidR="00CF0459">
        <w:t>by loss of bS21-2 and could be analyzed in similar ways, by assessing impacts on transcript abundance, protein stability, or DNA-binding in the presence of absence of bS21-2.</w:t>
      </w:r>
    </w:p>
    <w:p w14:paraId="2F53162B" w14:textId="5E678136" w:rsidR="0027656F" w:rsidRPr="00CF0459" w:rsidRDefault="000827EC" w:rsidP="00CF0459">
      <w:pPr>
        <w:spacing w:line="480" w:lineRule="auto"/>
        <w:ind w:firstLine="720"/>
        <w:jc w:val="both"/>
        <w:rPr>
          <w:rFonts w:ascii="Calibri" w:hAnsi="Calibri" w:cs="Calibri"/>
          <w:color w:val="000000"/>
          <w:szCs w:val="24"/>
        </w:rPr>
      </w:pPr>
      <w:r>
        <w:t>Though our focus has been on proteins with decreased abundance, i</w:t>
      </w:r>
      <w:r w:rsidR="0027656F">
        <w:t xml:space="preserve">t is worth noting that loss of bS21-2 </w:t>
      </w:r>
      <w:r>
        <w:t>increases</w:t>
      </w:r>
      <w:r w:rsidR="0027656F">
        <w:t xml:space="preserve"> translation from the 5</w:t>
      </w:r>
      <w:r w:rsidR="0027656F">
        <w:rPr>
          <w:rFonts w:cstheme="minorHAnsi"/>
        </w:rPr>
        <w:t xml:space="preserve">´ </w:t>
      </w:r>
      <w:r w:rsidR="0027656F">
        <w:t xml:space="preserve">UTR of </w:t>
      </w:r>
      <w:r>
        <w:t>many genes</w:t>
      </w:r>
      <w:r w:rsidR="0027656F">
        <w:t xml:space="preserve">. </w:t>
      </w:r>
      <w:r>
        <w:t>For instance</w:t>
      </w:r>
      <w:r w:rsidR="0027656F">
        <w:t xml:space="preserve">, protein production from the </w:t>
      </w:r>
      <w:r w:rsidR="0027656F" w:rsidRPr="0027656F">
        <w:rPr>
          <w:i/>
          <w:iCs/>
        </w:rPr>
        <w:t>tul4</w:t>
      </w:r>
      <w:r w:rsidR="0027656F">
        <w:t xml:space="preserve"> 5</w:t>
      </w:r>
      <w:r w:rsidR="0027656F">
        <w:rPr>
          <w:rFonts w:cstheme="minorHAnsi"/>
        </w:rPr>
        <w:t xml:space="preserve">´ </w:t>
      </w:r>
      <w:r w:rsidR="0027656F">
        <w:t xml:space="preserve">UTR </w:t>
      </w:r>
      <w:r w:rsidR="00D54DFC">
        <w:t>is</w:t>
      </w:r>
      <w:r w:rsidR="0027656F">
        <w:t xml:space="preserve"> higher in the bS21-2 mutant than in wild-type cells (Chapter 3, Figure 1B, 2B</w:t>
      </w:r>
      <w:r>
        <w:t>, 2C</w:t>
      </w:r>
      <w:r w:rsidR="0027656F">
        <w:t xml:space="preserve">). </w:t>
      </w:r>
      <w:commentRangeStart w:id="15"/>
      <w:r w:rsidR="0027656F">
        <w:t xml:space="preserve">We suspect that the balance </w:t>
      </w:r>
      <w:commentRangeEnd w:id="15"/>
      <w:r w:rsidR="0027656F">
        <w:rPr>
          <w:rStyle w:val="CommentReference"/>
        </w:rPr>
        <w:commentReference w:id="15"/>
      </w:r>
      <w:r w:rsidR="0027656F">
        <w:t>of</w:t>
      </w:r>
      <w:r w:rsidR="00D54DFC">
        <w:t xml:space="preserve"> which transcripts are preferentially</w:t>
      </w:r>
      <w:r>
        <w:t xml:space="preserve"> translat</w:t>
      </w:r>
      <w:r w:rsidR="00D54DFC">
        <w:t>ed</w:t>
      </w:r>
      <w:r w:rsidR="0027656F">
        <w:t xml:space="preserve"> shifts when bS21-2 is </w:t>
      </w:r>
      <w:r w:rsidR="00D54DFC">
        <w:t>absent</w:t>
      </w:r>
      <w:r w:rsidR="0027656F">
        <w:t>, because the relative number of available ribosomes increases if they aren’t being soaked up by the</w:t>
      </w:r>
      <w:r>
        <w:t xml:space="preserve"> many bS21-2-respnsive transcripts</w:t>
      </w:r>
      <w:r w:rsidR="0027656F">
        <w:t xml:space="preserve">. </w:t>
      </w:r>
      <w:r>
        <w:t xml:space="preserve">Many of the proteins that are more abundant in bS21-2-mutant cells, shown on the top half of Chapter 2 Figure 2, may be indirectly impacted by bS21-2 due to this shifting balance of ribosomes. This hypothesis is </w:t>
      </w:r>
      <w:r w:rsidR="0027656F">
        <w:t xml:space="preserve">not </w:t>
      </w:r>
      <w:r w:rsidR="0027656F">
        <w:lastRenderedPageBreak/>
        <w:t xml:space="preserve">completely </w:t>
      </w:r>
      <w:r>
        <w:t>understood</w:t>
      </w:r>
      <w:r w:rsidR="0027656F">
        <w:t xml:space="preserve"> </w:t>
      </w:r>
      <w:r>
        <w:t xml:space="preserve">and would require validation. One way to approach this would be to produce high levels of bS21-2 in the cell and use GFP assays to see if production of </w:t>
      </w:r>
      <w:commentRangeStart w:id="16"/>
      <w:r w:rsidRPr="000827EC">
        <w:rPr>
          <w:i/>
          <w:iCs/>
        </w:rPr>
        <w:t>tul4</w:t>
      </w:r>
      <w:r>
        <w:t xml:space="preserve"> goes down.</w:t>
      </w:r>
      <w:commentRangeEnd w:id="16"/>
      <w:r w:rsidR="00404F87">
        <w:rPr>
          <w:rStyle w:val="CommentReference"/>
        </w:rPr>
        <w:commentReference w:id="16"/>
      </w:r>
    </w:p>
    <w:p w14:paraId="5F13DC4D" w14:textId="77777777" w:rsidR="00FE0478" w:rsidRDefault="00FE0478" w:rsidP="004B7943">
      <w:pPr>
        <w:spacing w:line="480" w:lineRule="auto"/>
        <w:jc w:val="both"/>
        <w:rPr>
          <w:u w:val="single"/>
        </w:rPr>
      </w:pPr>
    </w:p>
    <w:p w14:paraId="513E3144" w14:textId="469918FA" w:rsidR="004B7943" w:rsidRDefault="004B7943" w:rsidP="004B7943">
      <w:pPr>
        <w:spacing w:line="480" w:lineRule="auto"/>
        <w:jc w:val="both"/>
        <w:rPr>
          <w:u w:val="single"/>
        </w:rPr>
      </w:pPr>
      <w:r>
        <w:rPr>
          <w:u w:val="single"/>
        </w:rPr>
        <w:t xml:space="preserve">Open </w:t>
      </w:r>
      <w:r w:rsidRPr="00D274AF">
        <w:rPr>
          <w:u w:val="single"/>
        </w:rPr>
        <w:t xml:space="preserve">Question </w:t>
      </w:r>
      <w:r>
        <w:rPr>
          <w:u w:val="single"/>
        </w:rPr>
        <w:t>3</w:t>
      </w:r>
      <w:r w:rsidRPr="00D274AF">
        <w:rPr>
          <w:u w:val="single"/>
        </w:rPr>
        <w:t xml:space="preserve">: </w:t>
      </w:r>
      <w:r>
        <w:rPr>
          <w:u w:val="single"/>
        </w:rPr>
        <w:t>Is bS21-2 sufficient to lead to changes in protein abundance</w:t>
      </w:r>
      <w:r w:rsidRPr="00D274AF">
        <w:rPr>
          <w:u w:val="single"/>
        </w:rPr>
        <w:t>?</w:t>
      </w:r>
    </w:p>
    <w:p w14:paraId="012DEF54" w14:textId="658911C7" w:rsidR="004B7943" w:rsidRDefault="004B7943" w:rsidP="00FE70D3">
      <w:pPr>
        <w:spacing w:line="480" w:lineRule="auto"/>
        <w:jc w:val="both"/>
      </w:pPr>
      <w:r>
        <w:tab/>
        <w:t xml:space="preserve">We </w:t>
      </w:r>
      <w:r w:rsidR="00840885">
        <w:t>propose</w:t>
      </w:r>
      <w:r>
        <w:t xml:space="preserve"> that bS21-2 is impacting translation initiation of </w:t>
      </w:r>
      <w:r w:rsidR="00786D4C">
        <w:t>specific</w:t>
      </w:r>
      <w:r>
        <w:t xml:space="preserve"> genes through interaction, directly or indirectly, with the 5</w:t>
      </w:r>
      <w:r>
        <w:rPr>
          <w:rFonts w:cstheme="minorHAnsi"/>
        </w:rPr>
        <w:t xml:space="preserve">´ </w:t>
      </w:r>
      <w:r>
        <w:t xml:space="preserve">UTR of these genes. To address the question of whether this impact is direct, we would like to utilize an </w:t>
      </w:r>
      <w:r w:rsidRPr="004B7943">
        <w:rPr>
          <w:i/>
          <w:iCs/>
        </w:rPr>
        <w:t>in vitro</w:t>
      </w:r>
      <w:r>
        <w:t xml:space="preserve"> transcription and </w:t>
      </w:r>
      <w:commentRangeStart w:id="17"/>
      <w:r>
        <w:t>translation system</w:t>
      </w:r>
      <w:commentRangeEnd w:id="17"/>
      <w:r w:rsidR="00840885">
        <w:rPr>
          <w:rStyle w:val="CommentReference"/>
        </w:rPr>
        <w:commentReference w:id="17"/>
      </w:r>
      <w:r>
        <w:t>. Using purified ribosomes either with or without bS21-2 and DNA encoding the bS21-2-responsive 5</w:t>
      </w:r>
      <w:r>
        <w:rPr>
          <w:rFonts w:cstheme="minorHAnsi"/>
        </w:rPr>
        <w:t xml:space="preserve">´ </w:t>
      </w:r>
      <w:r>
        <w:t xml:space="preserve">UTRs under control of a T7 promoter, we </w:t>
      </w:r>
      <w:r w:rsidR="00AC5AFB">
        <w:t>can</w:t>
      </w:r>
      <w:r>
        <w:t xml:space="preserve"> assess </w:t>
      </w:r>
      <w:r w:rsidR="00AC5AFB">
        <w:t>protein production of reporters</w:t>
      </w:r>
      <w:r>
        <w:t xml:space="preserve">. During my PhD work, I attempted to optimize use of the </w:t>
      </w:r>
      <w:r w:rsidRPr="004B7943">
        <w:rPr>
          <w:i/>
          <w:iCs/>
        </w:rPr>
        <w:t>in vitro</w:t>
      </w:r>
      <w:r>
        <w:t xml:space="preserve"> transcription and translation system, but was limited by the abundance of ribosomes and sensitivity of the output. Future </w:t>
      </w:r>
      <w:r w:rsidR="00786D4C">
        <w:t>research</w:t>
      </w:r>
      <w:r>
        <w:t xml:space="preserve"> could </w:t>
      </w:r>
      <w:r w:rsidR="00786D4C">
        <w:t>utilize a</w:t>
      </w:r>
      <w:r>
        <w:t xml:space="preserve"> more sensitive output: </w:t>
      </w:r>
      <w:r w:rsidR="00AD6F0A">
        <w:t>luciferase-based</w:t>
      </w:r>
      <w:r>
        <w:t xml:space="preserve"> protocols have been used in conjunction with this assay to a higher level of sensitivity than detected with fluorescence outputs</w:t>
      </w:r>
      <w:r w:rsidR="00AD6F0A">
        <w:t xml:space="preserve"> (</w:t>
      </w:r>
      <w:r w:rsidR="00D06E30">
        <w:t>Wood, 2007</w:t>
      </w:r>
      <w:r w:rsidR="00AD6F0A">
        <w:t>)</w:t>
      </w:r>
      <w:r>
        <w:t xml:space="preserve">. The lab could also try to increase ribosome concentrations or the fraction of functional ribosomes using new purification strategies, such as modified tandem affinity purifications of high-volume </w:t>
      </w:r>
      <w:r w:rsidR="00AD6F0A">
        <w:t>lysates.</w:t>
      </w:r>
      <w:r w:rsidR="00D44762">
        <w:t xml:space="preserve"> If a difference is detected in the protein production between ribosomes with bS21-2 and those without, it would suggest bS21-2 is sufficient to cause these changes. If no difference is detected, the mechanism of action is indirect and there is likely an intermediary protein interacting with the 5</w:t>
      </w:r>
      <w:r w:rsidR="00D44762">
        <w:rPr>
          <w:rFonts w:cstheme="minorHAnsi"/>
        </w:rPr>
        <w:t xml:space="preserve">´ </w:t>
      </w:r>
      <w:r w:rsidR="00D44762">
        <w:t xml:space="preserve">UTRs of bS21-2-responsive genes. </w:t>
      </w:r>
      <w:r w:rsidR="00AC5AFB">
        <w:t xml:space="preserve">To </w:t>
      </w:r>
      <w:r w:rsidR="00D44762">
        <w:t>identify th</w:t>
      </w:r>
      <w:r w:rsidR="00AC5AFB">
        <w:t xml:space="preserve">e </w:t>
      </w:r>
      <w:r w:rsidR="00AC5AFB">
        <w:lastRenderedPageBreak/>
        <w:t>intermediary</w:t>
      </w:r>
      <w:r w:rsidR="00D44762">
        <w:t xml:space="preserve"> protein, we may need to revisit the proteomics screen and look for genes with RNA-binding domains that </w:t>
      </w:r>
      <w:r w:rsidR="00AC5AFB">
        <w:t>did not reach</w:t>
      </w:r>
      <w:r w:rsidR="00D44762">
        <w:t xml:space="preserve"> the significance threshold.</w:t>
      </w:r>
    </w:p>
    <w:p w14:paraId="6EE9CB4F" w14:textId="408CF181" w:rsidR="00A837B1" w:rsidRPr="00A837B1" w:rsidRDefault="00A837B1" w:rsidP="00FE70D3">
      <w:pPr>
        <w:spacing w:line="480" w:lineRule="auto"/>
        <w:jc w:val="both"/>
      </w:pPr>
      <w:r w:rsidRPr="00A837B1">
        <w:tab/>
      </w:r>
      <w:r>
        <w:t xml:space="preserve">If the </w:t>
      </w:r>
      <w:r w:rsidRPr="00A837B1">
        <w:rPr>
          <w:i/>
          <w:iCs/>
        </w:rPr>
        <w:t>in vitro</w:t>
      </w:r>
      <w:r>
        <w:t xml:space="preserve"> assay indicates that bS21-2 and the ribosome are sufficient to cause changes in translation, it would be interesting to determine if bS21-2 interacts directly with the </w:t>
      </w:r>
      <w:r w:rsidRPr="00786D4C">
        <w:rPr>
          <w:i/>
          <w:iCs/>
        </w:rPr>
        <w:t>mraY</w:t>
      </w:r>
      <w:r>
        <w:t xml:space="preserve"> mRNA. To assess this, we could use an electrophoretic mobility shift assay (EMSA) which is based on the </w:t>
      </w:r>
      <w:r w:rsidR="00786D4C">
        <w:t>principle</w:t>
      </w:r>
      <w:r>
        <w:t xml:space="preserve"> that free nucleic acid moves more rapidly </w:t>
      </w:r>
      <w:r w:rsidR="00786D4C">
        <w:t xml:space="preserve">during gel electrophoresis than RNA bound to a protein. We would use purified bS21-2, bS21-2-containing ribosomes, and ribosomes without bS21-2 </w:t>
      </w:r>
      <w:r w:rsidR="00AC5AFB">
        <w:t>to</w:t>
      </w:r>
      <w:r w:rsidR="00786D4C">
        <w:t xml:space="preserve"> incubate with </w:t>
      </w:r>
      <w:r w:rsidR="00786D4C" w:rsidRPr="00786D4C">
        <w:rPr>
          <w:i/>
          <w:iCs/>
        </w:rPr>
        <w:t>mraY</w:t>
      </w:r>
      <w:r w:rsidR="00786D4C">
        <w:t xml:space="preserve"> mRNA to determine if bS21-2 alone or in the context of the ribosome can bind directly to the mRNA. If we find that bS21-2 does </w:t>
      </w:r>
      <w:r w:rsidR="00AC5AFB">
        <w:t>interact directly</w:t>
      </w:r>
      <w:r w:rsidR="00786D4C">
        <w:t xml:space="preserve">, we would then look to </w:t>
      </w:r>
      <w:r w:rsidR="00AC5AFB">
        <w:t xml:space="preserve">identify what residues of the mRNA are protected by bS21-2 occupancy using RNA </w:t>
      </w:r>
      <w:proofErr w:type="spellStart"/>
      <w:r w:rsidR="00AC5AFB">
        <w:t>footprinting</w:t>
      </w:r>
      <w:proofErr w:type="spellEnd"/>
      <w:r w:rsidR="00786D4C">
        <w:t>, the hypothesis being that the GACUCU motif</w:t>
      </w:r>
      <w:r w:rsidR="00AC5AFB">
        <w:t xml:space="preserve"> is bound by bS21-2</w:t>
      </w:r>
      <w:r w:rsidR="00786D4C">
        <w:t>.</w:t>
      </w:r>
    </w:p>
    <w:p w14:paraId="2BC2FAFB" w14:textId="15102542" w:rsidR="004B7943" w:rsidRPr="00FE0478" w:rsidRDefault="00252450" w:rsidP="00FE70D3">
      <w:pPr>
        <w:spacing w:line="480" w:lineRule="auto"/>
        <w:jc w:val="both"/>
      </w:pPr>
      <w:r>
        <w:tab/>
      </w:r>
      <w:r w:rsidR="00786D4C">
        <w:t>If we find bS21-2 is sufficient to cause changes in translation of particular 5</w:t>
      </w:r>
      <w:r w:rsidR="00786D4C">
        <w:rPr>
          <w:rFonts w:cs="Arial"/>
        </w:rPr>
        <w:t>´</w:t>
      </w:r>
      <w:r w:rsidR="00786D4C">
        <w:t xml:space="preserve"> UTRs, it would be interesting to see whether the other </w:t>
      </w:r>
      <w:r w:rsidR="006E344F">
        <w:t xml:space="preserve">bS21 </w:t>
      </w:r>
      <w:r w:rsidR="00786D4C">
        <w:t xml:space="preserve">homologs function similarly. </w:t>
      </w:r>
      <w:r>
        <w:t xml:space="preserve">We report in Chapter 2 that bS21-3 (and to some extent bS21-1) may also impact production of the T6SS proteins. In addition to including bS21-3-containing ribosomes in the </w:t>
      </w:r>
      <w:r w:rsidRPr="00252450">
        <w:rPr>
          <w:i/>
          <w:iCs/>
        </w:rPr>
        <w:t>in vitro</w:t>
      </w:r>
      <w:r>
        <w:t xml:space="preserve"> assay described above, we may also assess complementation with bS21-1 and bS21-3 in the reporter assays from Chapter 3. </w:t>
      </w:r>
      <w:commentRangeStart w:id="18"/>
      <w:r>
        <w:t xml:space="preserve">Given </w:t>
      </w:r>
      <w:r w:rsidR="00FE0478">
        <w:t xml:space="preserve">that our GFP reporters are encoded on plasmids and the stability of multiple plasmids in one cell is unknown, we may integrate strong promoter-driven </w:t>
      </w:r>
      <w:r w:rsidR="00FE0478">
        <w:rPr>
          <w:i/>
          <w:iCs/>
        </w:rPr>
        <w:t xml:space="preserve">rpsU1 </w:t>
      </w:r>
      <w:r w:rsidR="00FE0478">
        <w:t xml:space="preserve">or </w:t>
      </w:r>
      <w:r w:rsidR="00FE0478">
        <w:rPr>
          <w:i/>
          <w:iCs/>
        </w:rPr>
        <w:t>rpsU3</w:t>
      </w:r>
      <w:r w:rsidR="00FE0478">
        <w:t xml:space="preserve"> into the chromosome at the Tn7 site</w:t>
      </w:r>
      <w:commentRangeEnd w:id="18"/>
      <w:r w:rsidR="006E344F">
        <w:rPr>
          <w:rStyle w:val="CommentReference"/>
        </w:rPr>
        <w:commentReference w:id="18"/>
      </w:r>
      <w:r w:rsidR="00FE0478">
        <w:t xml:space="preserve">. If we find </w:t>
      </w:r>
      <w:r w:rsidR="00FE0478">
        <w:lastRenderedPageBreak/>
        <w:t>that production of GFP from the bS21-2-responsive 5</w:t>
      </w:r>
      <w:r w:rsidR="00FE0478">
        <w:rPr>
          <w:rFonts w:cstheme="minorHAnsi"/>
        </w:rPr>
        <w:t xml:space="preserve">´ </w:t>
      </w:r>
      <w:r w:rsidR="00FE0478">
        <w:t xml:space="preserve">UTRs is not restored with increased amounts of bS21-1 and bS21-3, we can conclude that bS21-2 alone is sufficient to cause these effects. Any complementation by bS21-1 or bS21-3 may suggest overlapping functions between the homologs, </w:t>
      </w:r>
      <w:r w:rsidR="006E344F">
        <w:t xml:space="preserve">a finding </w:t>
      </w:r>
      <w:r w:rsidR="00FE0478">
        <w:t>which may be specific to only some 5</w:t>
      </w:r>
      <w:r w:rsidR="00FE0478">
        <w:rPr>
          <w:rFonts w:cstheme="minorHAnsi"/>
        </w:rPr>
        <w:t xml:space="preserve">´ </w:t>
      </w:r>
      <w:r w:rsidR="00FE0478">
        <w:t>UTRs.</w:t>
      </w:r>
    </w:p>
    <w:p w14:paraId="182765FB" w14:textId="77777777" w:rsidR="00FE0478" w:rsidRDefault="00FE0478" w:rsidP="00FE0478">
      <w:pPr>
        <w:spacing w:line="480" w:lineRule="auto"/>
        <w:jc w:val="both"/>
        <w:rPr>
          <w:u w:val="single"/>
        </w:rPr>
      </w:pPr>
    </w:p>
    <w:p w14:paraId="190A7F6A" w14:textId="137F0FA3" w:rsidR="00FE0478" w:rsidRDefault="00FE0478" w:rsidP="00FE0478">
      <w:pPr>
        <w:spacing w:line="480" w:lineRule="auto"/>
        <w:jc w:val="both"/>
        <w:rPr>
          <w:u w:val="single"/>
        </w:rPr>
      </w:pPr>
      <w:r>
        <w:rPr>
          <w:u w:val="single"/>
        </w:rPr>
        <w:t xml:space="preserve">Open </w:t>
      </w:r>
      <w:r w:rsidRPr="00D274AF">
        <w:rPr>
          <w:u w:val="single"/>
        </w:rPr>
        <w:t xml:space="preserve">Question </w:t>
      </w:r>
      <w:r>
        <w:rPr>
          <w:u w:val="single"/>
        </w:rPr>
        <w:t>4</w:t>
      </w:r>
      <w:r w:rsidRPr="00D274AF">
        <w:rPr>
          <w:u w:val="single"/>
        </w:rPr>
        <w:t xml:space="preserve">: </w:t>
      </w:r>
      <w:r>
        <w:rPr>
          <w:u w:val="single"/>
        </w:rPr>
        <w:t>Does bS21-2</w:t>
      </w:r>
      <w:r w:rsidR="00D06E30">
        <w:rPr>
          <w:u w:val="single"/>
        </w:rPr>
        <w:t>-</w:t>
      </w:r>
      <w:r>
        <w:rPr>
          <w:u w:val="single"/>
        </w:rPr>
        <w:t>mediated translation modify transcript stability?</w:t>
      </w:r>
    </w:p>
    <w:p w14:paraId="5507CAB1" w14:textId="68648CD7" w:rsidR="00FE0478" w:rsidRDefault="00367F63" w:rsidP="00367F63">
      <w:pPr>
        <w:spacing w:line="480" w:lineRule="auto"/>
        <w:ind w:firstLine="720"/>
        <w:jc w:val="both"/>
      </w:pPr>
      <w:r>
        <w:t>In Chapter 2, we identified 161 genes with changes in protein abundance but without changes in transcript abundance</w:t>
      </w:r>
      <w:r w:rsidR="000717EA">
        <w:t xml:space="preserve"> (Figure 2, yellow dots)</w:t>
      </w:r>
      <w:r>
        <w:t>. However, there is a moderate decrease in transcript abundance in many of these genes that did not reach our statistical significance cutoff (</w:t>
      </w:r>
      <w:r w:rsidRPr="00367F63">
        <w:rPr>
          <w:rFonts w:cs="Arial"/>
        </w:rPr>
        <w:sym w:font="Symbol" w:char="F0B3"/>
      </w:r>
      <w:r>
        <w:t xml:space="preserve"> 2-fold change, adjusted P</w:t>
      </w:r>
      <w:r w:rsidR="000E2E46">
        <w:t> </w:t>
      </w:r>
      <w:r>
        <w:t>&lt; 0.05). One explanation for this trend could be that occupancy by bS21-2-containing ribosomes increases transcript stability</w:t>
      </w:r>
      <w:r w:rsidR="000717EA">
        <w:t xml:space="preserve">, such that transcripts with poor </w:t>
      </w:r>
      <w:commentRangeStart w:id="19"/>
      <w:r w:rsidR="000717EA">
        <w:t>translation efficiency are degraded more rapidly</w:t>
      </w:r>
      <w:commentRangeEnd w:id="19"/>
      <w:r w:rsidR="00BE30FA">
        <w:rPr>
          <w:rStyle w:val="CommentReference"/>
        </w:rPr>
        <w:commentReference w:id="19"/>
      </w:r>
      <w:r>
        <w:t xml:space="preserve">. </w:t>
      </w:r>
      <w:r w:rsidR="000717EA">
        <w:t xml:space="preserve">In bacteria, translating or stalled ribosomes can mask mRNA cleavage sites, thereby improving stability of the transcript (Lopez et al. 1998; </w:t>
      </w:r>
      <w:proofErr w:type="spellStart"/>
      <w:r w:rsidR="000717EA">
        <w:t>Bechhofer</w:t>
      </w:r>
      <w:proofErr w:type="spellEnd"/>
      <w:r w:rsidR="000717EA">
        <w:t xml:space="preserve"> &amp; Zen, 1989; Hui et al. 2014). </w:t>
      </w:r>
    </w:p>
    <w:p w14:paraId="7C681454" w14:textId="26F01F69" w:rsidR="00EA2388" w:rsidRDefault="00EA2388" w:rsidP="00367F63">
      <w:pPr>
        <w:spacing w:line="480" w:lineRule="auto"/>
        <w:ind w:firstLine="720"/>
        <w:jc w:val="both"/>
      </w:pPr>
      <w:r>
        <w:t>In order to assess how bS21-2-mediated translation impacts transcript degradation, we would like to perform an mRNA stability assay</w:t>
      </w:r>
      <w:r w:rsidR="00456A14">
        <w:t xml:space="preserve"> on cells with and without bS21-2</w:t>
      </w:r>
      <w:r>
        <w:t>.</w:t>
      </w:r>
      <w:r w:rsidR="00456A14">
        <w:t xml:space="preserve"> By adding rifampicin to actively growing cultures, </w:t>
      </w:r>
      <w:r w:rsidR="00B053F1">
        <w:t>RNA polymerase</w:t>
      </w:r>
      <w:r w:rsidR="00456A14">
        <w:t xml:space="preserve"> will be </w:t>
      </w:r>
      <w:r w:rsidR="00B053F1">
        <w:t>inhibited</w:t>
      </w:r>
      <w:r w:rsidR="00456A14">
        <w:t xml:space="preserve"> </w:t>
      </w:r>
      <w:r w:rsidR="00B053F1">
        <w:t>and</w:t>
      </w:r>
      <w:r w:rsidR="00456A14">
        <w:t xml:space="preserve"> samples taken at specific time points </w:t>
      </w:r>
      <w:r w:rsidR="00B053F1">
        <w:t>will reflect abundances of RNA produced before</w:t>
      </w:r>
      <w:r w:rsidR="00B053F1">
        <w:t xml:space="preserve"> treatment</w:t>
      </w:r>
      <w:r w:rsidR="00456A14">
        <w:t>. Purified RNA from each time point can be analyzed by RNA-seq or qPCR of specific target genes to determine rates of degradation. mRNA half</w:t>
      </w:r>
      <w:r w:rsidR="00BE30FA">
        <w:t>-</w:t>
      </w:r>
      <w:r w:rsidR="00456A14">
        <w:t>lives can then be compared in wild-</w:t>
      </w:r>
      <w:r w:rsidR="00456A14">
        <w:lastRenderedPageBreak/>
        <w:t xml:space="preserve">type and </w:t>
      </w:r>
      <w:r w:rsidR="00456A14">
        <w:rPr>
          <w:rFonts w:cs="Arial"/>
        </w:rPr>
        <w:t>Δ</w:t>
      </w:r>
      <w:r w:rsidR="00456A14">
        <w:t>bS21-2 samples to determine how bS21-2-containing ribosomes impact stability of transcripts.</w:t>
      </w:r>
    </w:p>
    <w:p w14:paraId="0DFBA886" w14:textId="77777777" w:rsidR="00D06E30" w:rsidRPr="00FE0478" w:rsidRDefault="00D06E30" w:rsidP="00367F63">
      <w:pPr>
        <w:spacing w:line="480" w:lineRule="auto"/>
        <w:ind w:firstLine="720"/>
        <w:jc w:val="both"/>
      </w:pPr>
    </w:p>
    <w:p w14:paraId="44BB5572" w14:textId="6F55470E" w:rsidR="00157120" w:rsidRDefault="00157120" w:rsidP="00FE70D3">
      <w:pPr>
        <w:spacing w:line="480" w:lineRule="auto"/>
        <w:jc w:val="both"/>
        <w:rPr>
          <w:u w:val="single"/>
        </w:rPr>
      </w:pPr>
      <w:r>
        <w:t xml:space="preserve"> </w:t>
      </w:r>
      <w:commentRangeStart w:id="20"/>
      <w:r w:rsidR="00D06E30">
        <w:rPr>
          <w:u w:val="single"/>
        </w:rPr>
        <w:t xml:space="preserve">Open </w:t>
      </w:r>
      <w:r w:rsidR="00D06E30" w:rsidRPr="00D274AF">
        <w:rPr>
          <w:u w:val="single"/>
        </w:rPr>
        <w:t xml:space="preserve">Question </w:t>
      </w:r>
      <w:r w:rsidR="00D06E30">
        <w:rPr>
          <w:u w:val="single"/>
        </w:rPr>
        <w:t>5</w:t>
      </w:r>
      <w:r w:rsidR="00D06E30" w:rsidRPr="00D274AF">
        <w:rPr>
          <w:u w:val="single"/>
        </w:rPr>
        <w:t xml:space="preserve">: </w:t>
      </w:r>
      <w:r w:rsidR="00D06E30">
        <w:rPr>
          <w:u w:val="single"/>
        </w:rPr>
        <w:t>How does Hfq control production of the T6SS?</w:t>
      </w:r>
      <w:commentRangeEnd w:id="20"/>
      <w:r w:rsidR="007A14C6">
        <w:rPr>
          <w:rStyle w:val="CommentReference"/>
        </w:rPr>
        <w:commentReference w:id="20"/>
      </w:r>
    </w:p>
    <w:p w14:paraId="3593E9E9" w14:textId="67F4655B" w:rsidR="00D06E30" w:rsidRDefault="00500B12" w:rsidP="00FE70D3">
      <w:pPr>
        <w:spacing w:line="480" w:lineRule="auto"/>
        <w:jc w:val="both"/>
      </w:pPr>
      <w:r>
        <w:tab/>
        <w:t xml:space="preserve">While the RNA chaperone protein Hfq is known to impact expression of T6SS proteins, there are inconsistencies in the literature Our transcript-level data of the </w:t>
      </w:r>
      <w:r w:rsidRPr="00500B12">
        <w:rPr>
          <w:i/>
          <w:iCs/>
        </w:rPr>
        <w:t>hfq</w:t>
      </w:r>
      <w:r>
        <w:t xml:space="preserve"> mutant supports previous research published by Meibom et al. (2009): transcript abundance of the </w:t>
      </w:r>
      <w:proofErr w:type="spellStart"/>
      <w:r w:rsidRPr="00500B12">
        <w:rPr>
          <w:i/>
          <w:iCs/>
        </w:rPr>
        <w:t>pdp</w:t>
      </w:r>
      <w:proofErr w:type="spellEnd"/>
      <w:r>
        <w:t xml:space="preserve"> operon, but not the </w:t>
      </w:r>
      <w:proofErr w:type="spellStart"/>
      <w:r w:rsidRPr="00500B12">
        <w:rPr>
          <w:i/>
          <w:iCs/>
        </w:rPr>
        <w:t>igl</w:t>
      </w:r>
      <w:proofErr w:type="spellEnd"/>
      <w:r>
        <w:t xml:space="preserve"> operon, is impacted by Hfq. However, our protein-level data indicate T6SS proteins are more abundant (PdpB) or unaffected (IglA, IglB) when Hfq is lost, which is in contrast to </w:t>
      </w:r>
      <w:commentRangeStart w:id="21"/>
      <w:proofErr w:type="spellStart"/>
      <w:r>
        <w:t>Lenco</w:t>
      </w:r>
      <w:proofErr w:type="spellEnd"/>
      <w:r>
        <w:t xml:space="preserve"> et al. (2014), </w:t>
      </w:r>
      <w:commentRangeEnd w:id="21"/>
      <w:r w:rsidR="000827EC">
        <w:rPr>
          <w:rStyle w:val="CommentReference"/>
        </w:rPr>
        <w:commentReference w:id="21"/>
      </w:r>
      <w:r w:rsidR="00105B51">
        <w:t>which</w:t>
      </w:r>
      <w:r>
        <w:t xml:space="preserve"> found </w:t>
      </w:r>
      <w:r w:rsidRPr="00500B12">
        <w:t xml:space="preserve">IglA, IglB, IglC, and </w:t>
      </w:r>
      <w:proofErr w:type="spellStart"/>
      <w:r w:rsidRPr="00500B12">
        <w:t>IglH</w:t>
      </w:r>
      <w:proofErr w:type="spellEnd"/>
      <w:r w:rsidRPr="00500B12">
        <w:t xml:space="preserve"> are down-regulated at the protein level</w:t>
      </w:r>
      <w:r>
        <w:t xml:space="preserve"> if Hfq is absent. </w:t>
      </w:r>
      <w:r w:rsidR="007A14C6">
        <w:t xml:space="preserve">One explanation </w:t>
      </w:r>
      <w:r w:rsidR="00105B51">
        <w:t>for</w:t>
      </w:r>
      <w:r w:rsidR="007A14C6">
        <w:t xml:space="preserve"> this discrepancy could be t</w:t>
      </w:r>
      <w:r>
        <w:t xml:space="preserve">he </w:t>
      </w:r>
      <w:r w:rsidR="007A14C6">
        <w:t xml:space="preserve">different </w:t>
      </w:r>
      <w:r>
        <w:t>methodolog</w:t>
      </w:r>
      <w:r w:rsidR="007A14C6">
        <w:t>ies.</w:t>
      </w:r>
      <w:r>
        <w:t xml:space="preserve"> </w:t>
      </w:r>
      <w:r w:rsidR="007A14C6">
        <w:t>We</w:t>
      </w:r>
      <w:r>
        <w:t xml:space="preserve"> used </w:t>
      </w:r>
      <w:r w:rsidR="007A14C6">
        <w:t xml:space="preserve">immunoblotting of whole cell lysates, while </w:t>
      </w:r>
      <w:proofErr w:type="spellStart"/>
      <w:r w:rsidR="007A14C6">
        <w:t>Lenco</w:t>
      </w:r>
      <w:proofErr w:type="spellEnd"/>
      <w:r w:rsidR="007A14C6">
        <w:t xml:space="preserve"> et al. (2014) used </w:t>
      </w:r>
      <w:proofErr w:type="spellStart"/>
      <w:r w:rsidR="007A14C6">
        <w:t>iTraq</w:t>
      </w:r>
      <w:proofErr w:type="spellEnd"/>
      <w:r w:rsidR="007A14C6">
        <w:t xml:space="preserve"> analysis with fractionated peptides.</w:t>
      </w:r>
      <w:r w:rsidR="000827EC">
        <w:t xml:space="preserve"> Given that our approach was targeted rather than genome-wide, and given that the RNA and protein levels are concordant in our data, </w:t>
      </w:r>
      <w:commentRangeStart w:id="22"/>
      <w:r w:rsidR="000827EC">
        <w:t>we have faith in the validity of our findings.</w:t>
      </w:r>
      <w:commentRangeEnd w:id="22"/>
      <w:r w:rsidR="00105B51">
        <w:rPr>
          <w:rStyle w:val="CommentReference"/>
        </w:rPr>
        <w:commentReference w:id="22"/>
      </w:r>
    </w:p>
    <w:p w14:paraId="41D98CE1" w14:textId="04485141" w:rsidR="007A14C6" w:rsidRPr="00500B12" w:rsidRDefault="007A14C6" w:rsidP="00FE70D3">
      <w:pPr>
        <w:spacing w:line="480" w:lineRule="auto"/>
        <w:jc w:val="both"/>
      </w:pPr>
      <w:r>
        <w:tab/>
        <w:t>The mechanism by which Hfq impacts transcript abundance of the genes encoding the T6SS remains an open question. Hfq is well-documented to work in conjunction with small RNAs to impact translation initiation and RNA stability (</w:t>
      </w:r>
      <w:proofErr w:type="gramStart"/>
      <w:r>
        <w:t>e.g.</w:t>
      </w:r>
      <w:proofErr w:type="gramEnd"/>
      <w:r>
        <w:t xml:space="preserve"> </w:t>
      </w:r>
      <w:proofErr w:type="spellStart"/>
      <w:r>
        <w:t>Geissmann</w:t>
      </w:r>
      <w:proofErr w:type="spellEnd"/>
      <w:r>
        <w:t xml:space="preserve"> &amp; Touati, 2004). If an sRNA is acting as a regulator of FPI genes, the sRNA has not yet been discovered. Hfq may also recruit </w:t>
      </w:r>
      <w:proofErr w:type="spellStart"/>
      <w:r>
        <w:t>RNAses</w:t>
      </w:r>
      <w:proofErr w:type="spellEnd"/>
      <w:r>
        <w:t xml:space="preserve"> to </w:t>
      </w:r>
      <w:r>
        <w:lastRenderedPageBreak/>
        <w:t xml:space="preserve">mRNA to promote degradation (Morita et al. 2006), a model which would be supported </w:t>
      </w:r>
      <w:commentRangeStart w:id="23"/>
      <w:r>
        <w:t xml:space="preserve">by our data. However, this has not yet been thoroughly explored. </w:t>
      </w:r>
      <w:commentRangeEnd w:id="23"/>
      <w:r>
        <w:rPr>
          <w:rStyle w:val="CommentReference"/>
        </w:rPr>
        <w:commentReference w:id="23"/>
      </w:r>
    </w:p>
    <w:p w14:paraId="28B1B835" w14:textId="77777777" w:rsidR="004331F4" w:rsidRDefault="004331F4" w:rsidP="00FE70D3">
      <w:pPr>
        <w:spacing w:line="480" w:lineRule="auto"/>
        <w:jc w:val="both"/>
        <w:rPr>
          <w:u w:val="single"/>
        </w:rPr>
      </w:pPr>
    </w:p>
    <w:p w14:paraId="2A5A3285" w14:textId="27C416F7" w:rsidR="00D06E30" w:rsidRDefault="007A14C6" w:rsidP="00FE70D3">
      <w:pPr>
        <w:spacing w:line="480" w:lineRule="auto"/>
        <w:jc w:val="both"/>
        <w:rPr>
          <w:u w:val="single"/>
        </w:rPr>
      </w:pPr>
      <w:r>
        <w:rPr>
          <w:u w:val="single"/>
        </w:rPr>
        <w:t>Open Question 6: What other virulence genes are impacted by bS21-2?</w:t>
      </w:r>
    </w:p>
    <w:p w14:paraId="5F85E2A3" w14:textId="442C3B5A" w:rsidR="007A14C6" w:rsidRDefault="007A14C6" w:rsidP="00FE70D3">
      <w:pPr>
        <w:spacing w:line="480" w:lineRule="auto"/>
        <w:jc w:val="both"/>
      </w:pPr>
      <w:r>
        <w:tab/>
        <w:t xml:space="preserve">In Chapter 2, we concluded that bS21-2 is likely regulating genes important for virulence in addition to the T6SS, because ectopic expression of bS21-3 restores T6SS protein abundance but does not restore intramacrophage replication. To determine what these other virulence genes may be, we </w:t>
      </w:r>
      <w:r w:rsidR="00736A46">
        <w:t xml:space="preserve">compared data from </w:t>
      </w:r>
      <w:r>
        <w:t>a transposon-seq study that found genes important for replication in macrophage</w:t>
      </w:r>
      <w:r w:rsidR="00736A46">
        <w:t xml:space="preserve"> with</w:t>
      </w:r>
      <w:r>
        <w:t xml:space="preserve"> our proteomics screen from Chapter 2. This cross-comparison revealed </w:t>
      </w:r>
      <w:r w:rsidR="004331F4">
        <w:t>seven</w:t>
      </w:r>
      <w:r>
        <w:t xml:space="preserve"> genes that are less abundant at the protein level</w:t>
      </w:r>
      <w:r w:rsidR="004331F4">
        <w:t xml:space="preserve"> but not the transcript level</w:t>
      </w:r>
      <w:r>
        <w:t xml:space="preserve"> when bS21-2 is absent </w:t>
      </w:r>
      <w:r>
        <w:rPr>
          <w:i/>
          <w:iCs/>
        </w:rPr>
        <w:t xml:space="preserve">and </w:t>
      </w:r>
      <w:r>
        <w:t>are important for virulence</w:t>
      </w:r>
      <w:r w:rsidR="004331F4">
        <w:t>, excluding genes encoding the T6SS</w:t>
      </w:r>
      <w:r>
        <w:t>.</w:t>
      </w:r>
      <w:r w:rsidR="004331F4">
        <w:t xml:space="preserve"> </w:t>
      </w:r>
      <w:commentRangeStart w:id="24"/>
      <w:r w:rsidR="004331F4">
        <w:t xml:space="preserve">While all seven should be </w:t>
      </w:r>
      <w:r w:rsidR="00FB68C8">
        <w:t>investigated</w:t>
      </w:r>
      <w:r w:rsidR="004331F4">
        <w:t xml:space="preserve">, two genes in particular stand out as likely candidates: FTL_1216 which may encode a </w:t>
      </w:r>
      <w:proofErr w:type="spellStart"/>
      <w:r w:rsidR="004331F4">
        <w:t>YqgE</w:t>
      </w:r>
      <w:proofErr w:type="spellEnd"/>
      <w:r w:rsidR="004331F4">
        <w:t>/</w:t>
      </w:r>
      <w:proofErr w:type="spellStart"/>
      <w:r w:rsidR="004331F4">
        <w:t>AlgH</w:t>
      </w:r>
      <w:proofErr w:type="spellEnd"/>
      <w:r w:rsidR="004331F4">
        <w:t xml:space="preserve"> family transcription factor and </w:t>
      </w:r>
      <w:proofErr w:type="spellStart"/>
      <w:r w:rsidR="004331F4" w:rsidRPr="004331F4">
        <w:rPr>
          <w:i/>
          <w:iCs/>
        </w:rPr>
        <w:t>potG</w:t>
      </w:r>
      <w:proofErr w:type="spellEnd"/>
      <w:r w:rsidR="004331F4">
        <w:t xml:space="preserve"> which encodes a putrescine transport protein shown to act as a virulence factor in other species</w:t>
      </w:r>
      <w:r w:rsidR="004F3313">
        <w:t xml:space="preserve"> </w:t>
      </w:r>
      <w:r w:rsidR="004F3313" w:rsidRPr="004F3313">
        <w:t>(She et al 2019; Sturgill and Rather, 2004; Kurihara et al., 2013</w:t>
      </w:r>
      <w:commentRangeEnd w:id="24"/>
      <w:r w:rsidR="00736A46">
        <w:rPr>
          <w:rStyle w:val="CommentReference"/>
        </w:rPr>
        <w:commentReference w:id="24"/>
      </w:r>
      <w:r w:rsidR="004F3313" w:rsidRPr="004F3313">
        <w:t>)</w:t>
      </w:r>
      <w:r w:rsidR="004F3313">
        <w:t>.</w:t>
      </w:r>
      <w:r>
        <w:t xml:space="preserve"> </w:t>
      </w:r>
      <w:r w:rsidR="004331F4">
        <w:t xml:space="preserve">We would </w:t>
      </w:r>
      <w:r w:rsidR="00736A46">
        <w:t>like</w:t>
      </w:r>
      <w:r w:rsidR="004331F4">
        <w:t xml:space="preserve"> to confirm these proteins are impacted by bS21-2 by tagging each gene with a VSV-G</w:t>
      </w:r>
      <w:commentRangeStart w:id="25"/>
      <w:r w:rsidR="004331F4">
        <w:t xml:space="preserve">-epitope tag in wild-type cells and </w:t>
      </w:r>
      <w:r w:rsidR="004331F4">
        <w:rPr>
          <w:rFonts w:cs="Arial"/>
        </w:rPr>
        <w:t>Δ</w:t>
      </w:r>
      <w:r w:rsidR="004331F4">
        <w:t xml:space="preserve">bS21-2 cells then </w:t>
      </w:r>
      <w:r w:rsidR="00736A46">
        <w:t>con</w:t>
      </w:r>
      <w:r w:rsidR="004331F4">
        <w:t>ducting immunoblotting</w:t>
      </w:r>
      <w:commentRangeEnd w:id="25"/>
      <w:r w:rsidR="00C27711">
        <w:rPr>
          <w:rStyle w:val="CommentReference"/>
        </w:rPr>
        <w:commentReference w:id="25"/>
      </w:r>
      <w:r w:rsidR="004331F4">
        <w:t xml:space="preserve">. </w:t>
      </w:r>
      <w:r w:rsidR="00736A46">
        <w:t>For those</w:t>
      </w:r>
      <w:r w:rsidR="004331F4">
        <w:t xml:space="preserve"> confirmed to be </w:t>
      </w:r>
      <w:r w:rsidR="00736A46">
        <w:t>responsive to</w:t>
      </w:r>
      <w:r w:rsidR="004331F4">
        <w:t xml:space="preserve"> by bS21-2, we would ectopically express the genes in wild-type and </w:t>
      </w:r>
      <w:r w:rsidR="004331F4">
        <w:rPr>
          <w:rFonts w:cs="Arial"/>
        </w:rPr>
        <w:t>Δ</w:t>
      </w:r>
      <w:r w:rsidR="004331F4">
        <w:t xml:space="preserve">bS21-2 cells, to see if we could restore intramacrophage replication. </w:t>
      </w:r>
      <w:r w:rsidR="00736A46">
        <w:t xml:space="preserve">By also ectopically expressing bS21-3, we would be able to determine that any restoration of </w:t>
      </w:r>
      <w:r w:rsidR="00736A46">
        <w:lastRenderedPageBreak/>
        <w:t>growth in macrophage is due to the virulence gene of interest, not the T6SS. Thus</w:t>
      </w:r>
      <w:r w:rsidR="00C27711">
        <w:t>,</w:t>
      </w:r>
      <w:r w:rsidR="00736A46">
        <w:t xml:space="preserve"> we could identify</w:t>
      </w:r>
      <w:r w:rsidR="004331F4">
        <w:t xml:space="preserve"> virulence genes that are impacted by bS21-2 but not bS21-3, further clarifying the distinction between the bS21 homologs. </w:t>
      </w:r>
    </w:p>
    <w:p w14:paraId="13C779B7" w14:textId="5869FD7B" w:rsidR="004F3313" w:rsidRDefault="004F3313" w:rsidP="00FE70D3">
      <w:pPr>
        <w:spacing w:line="480" w:lineRule="auto"/>
        <w:jc w:val="both"/>
      </w:pPr>
      <w:r>
        <w:tab/>
      </w:r>
      <w:r w:rsidR="00736A46">
        <w:t>It</w:t>
      </w:r>
      <w:r>
        <w:t xml:space="preserve"> is worth reflecting on why </w:t>
      </w:r>
      <w:r w:rsidRPr="004F3313">
        <w:rPr>
          <w:i/>
          <w:iCs/>
        </w:rPr>
        <w:t>F. tularensis</w:t>
      </w:r>
      <w:r>
        <w:t xml:space="preserve"> is using bS21-2 to control its virulence in this way. bS21 is one of the last proteins assembled into the ribosome and is easily exchanged</w:t>
      </w:r>
      <w:r w:rsidR="006768B1">
        <w:t xml:space="preserve"> in </w:t>
      </w:r>
      <w:r w:rsidR="006768B1" w:rsidRPr="006768B1">
        <w:rPr>
          <w:i/>
          <w:iCs/>
        </w:rPr>
        <w:t>E. coli</w:t>
      </w:r>
      <w:r>
        <w:t xml:space="preserve"> (</w:t>
      </w:r>
      <w:r w:rsidR="006768B1">
        <w:t>Mizushima &amp; Nomura, 1970</w:t>
      </w:r>
      <w:r>
        <w:t xml:space="preserve">). </w:t>
      </w:r>
      <w:r w:rsidRPr="004F3313">
        <w:rPr>
          <w:i/>
          <w:iCs/>
        </w:rPr>
        <w:t>F. tularensis</w:t>
      </w:r>
      <w:r>
        <w:t xml:space="preserve"> may be able to switch which bS21 homolog is in ribosomes to rapidly adapt their proteome based on changing conditions (</w:t>
      </w:r>
      <w:proofErr w:type="gramStart"/>
      <w:r>
        <w:t>i.e.</w:t>
      </w:r>
      <w:proofErr w:type="gramEnd"/>
      <w:r>
        <w:t xml:space="preserve"> when in a host phagosome). This strategy may be faster than impacting transcription. If virulence genes are always transcribed but poorly translated, they </w:t>
      </w:r>
      <w:commentRangeStart w:id="26"/>
      <w:r>
        <w:t xml:space="preserve">can be “turned on” by switching out bS21 homologs and improving translation initiation. </w:t>
      </w:r>
      <w:commentRangeEnd w:id="26"/>
      <w:r>
        <w:rPr>
          <w:rStyle w:val="CommentReference"/>
        </w:rPr>
        <w:commentReference w:id="26"/>
      </w:r>
      <w:r>
        <w:t xml:space="preserve">At this stage, there is significant work to be done before a model like this could be </w:t>
      </w:r>
      <w:r w:rsidR="00E44DCD">
        <w:t>established</w:t>
      </w:r>
      <w:r>
        <w:t>.</w:t>
      </w:r>
    </w:p>
    <w:p w14:paraId="55361004" w14:textId="77777777" w:rsidR="004F3313" w:rsidRDefault="004F3313" w:rsidP="00FE70D3">
      <w:pPr>
        <w:spacing w:line="480" w:lineRule="auto"/>
        <w:jc w:val="both"/>
      </w:pPr>
    </w:p>
    <w:p w14:paraId="3E19C98E" w14:textId="764A2851" w:rsidR="004F3313" w:rsidRDefault="004F3313" w:rsidP="00FE70D3">
      <w:pPr>
        <w:spacing w:line="480" w:lineRule="auto"/>
        <w:jc w:val="both"/>
        <w:rPr>
          <w:u w:val="single"/>
        </w:rPr>
      </w:pPr>
      <w:commentRangeStart w:id="27"/>
      <w:r>
        <w:rPr>
          <w:u w:val="single"/>
        </w:rPr>
        <w:t>Open Question 7: How do changes to the 5</w:t>
      </w:r>
      <w:r>
        <w:rPr>
          <w:rFonts w:cs="Arial"/>
          <w:u w:val="single"/>
        </w:rPr>
        <w:t>´</w:t>
      </w:r>
      <w:r>
        <w:rPr>
          <w:u w:val="single"/>
        </w:rPr>
        <w:t xml:space="preserve"> UTRs impact overall protein production?</w:t>
      </w:r>
      <w:commentRangeEnd w:id="27"/>
      <w:r w:rsidR="003248E0">
        <w:rPr>
          <w:rStyle w:val="CommentReference"/>
        </w:rPr>
        <w:commentReference w:id="27"/>
      </w:r>
    </w:p>
    <w:p w14:paraId="15F9A257" w14:textId="6DF50365" w:rsidR="004F3313" w:rsidRPr="004F3313" w:rsidRDefault="004F3313" w:rsidP="00FE70D3">
      <w:pPr>
        <w:spacing w:line="480" w:lineRule="auto"/>
        <w:jc w:val="both"/>
      </w:pPr>
      <w:r>
        <w:tab/>
        <w:t xml:space="preserve">Throughout our </w:t>
      </w:r>
      <w:r w:rsidRPr="004F3313">
        <w:t>5</w:t>
      </w:r>
      <w:r w:rsidRPr="004F3313">
        <w:rPr>
          <w:rFonts w:cs="Arial"/>
        </w:rPr>
        <w:t>´</w:t>
      </w:r>
      <w:r w:rsidRPr="004F3313">
        <w:t xml:space="preserve"> UTR</w:t>
      </w:r>
      <w:r>
        <w:t xml:space="preserve"> reporter analyses in Chapter 3, we focused our attention </w:t>
      </w:r>
      <w:r w:rsidR="00E44DCD">
        <w:t xml:space="preserve">on </w:t>
      </w:r>
      <w:r>
        <w:t xml:space="preserve">the </w:t>
      </w:r>
      <w:r>
        <w:rPr>
          <w:i/>
          <w:iCs/>
        </w:rPr>
        <w:t xml:space="preserve">relative </w:t>
      </w:r>
      <w:r>
        <w:t xml:space="preserve">protein production in cells without bS21-2 compared to those with bS21-2. This allowed a clear comparison </w:t>
      </w:r>
      <w:r w:rsidR="00E44DCD">
        <w:t xml:space="preserve">of the same </w:t>
      </w:r>
      <w:r w:rsidR="00E44DCD" w:rsidRPr="004F3313">
        <w:t>5</w:t>
      </w:r>
      <w:r w:rsidR="00E44DCD" w:rsidRPr="004F3313">
        <w:rPr>
          <w:rFonts w:cs="Arial"/>
        </w:rPr>
        <w:t>´</w:t>
      </w:r>
      <w:r w:rsidR="00E44DCD" w:rsidRPr="004F3313">
        <w:t xml:space="preserve"> UTR</w:t>
      </w:r>
      <w:r w:rsidR="00E44DCD">
        <w:t xml:space="preserve"> while changing only bS21-2 </w:t>
      </w:r>
      <w:r w:rsidR="005E217B">
        <w:t>presence</w:t>
      </w:r>
      <w:r w:rsidR="00E44DCD">
        <w:t xml:space="preserve">. However, there were significant differences in </w:t>
      </w:r>
      <w:r w:rsidR="00E44DCD" w:rsidRPr="00E44DCD">
        <w:rPr>
          <w:i/>
          <w:iCs/>
        </w:rPr>
        <w:t>overall</w:t>
      </w:r>
      <w:r w:rsidR="00E44DCD">
        <w:t xml:space="preserve"> protein production </w:t>
      </w:r>
      <w:r w:rsidR="005E217B">
        <w:t>between</w:t>
      </w:r>
      <w:r w:rsidR="00E44DCD">
        <w:t xml:space="preserve"> </w:t>
      </w:r>
      <w:r w:rsidR="00E44DCD" w:rsidRPr="004F3313">
        <w:t>5</w:t>
      </w:r>
      <w:r w:rsidR="00E44DCD" w:rsidRPr="004F3313">
        <w:rPr>
          <w:rFonts w:cs="Arial"/>
        </w:rPr>
        <w:t>´</w:t>
      </w:r>
      <w:r w:rsidR="00E44DCD" w:rsidRPr="004F3313">
        <w:t xml:space="preserve"> UTR</w:t>
      </w:r>
      <w:r w:rsidR="005E217B">
        <w:t>s</w:t>
      </w:r>
      <w:r w:rsidR="00E44DCD">
        <w:t xml:space="preserve">. Looking first at the wild-type </w:t>
      </w:r>
      <w:r w:rsidR="00E44DCD" w:rsidRPr="004F3313">
        <w:t>5</w:t>
      </w:r>
      <w:r w:rsidR="00E44DCD" w:rsidRPr="004F3313">
        <w:rPr>
          <w:rFonts w:cs="Arial"/>
        </w:rPr>
        <w:t>´</w:t>
      </w:r>
      <w:r w:rsidR="00E44DCD" w:rsidRPr="004F3313">
        <w:t xml:space="preserve"> UTR</w:t>
      </w:r>
      <w:r w:rsidR="00E44DCD">
        <w:t>s</w:t>
      </w:r>
      <w:r w:rsidR="005E217B">
        <w:t>,</w:t>
      </w:r>
      <w:r w:rsidR="00E44DCD">
        <w:t xml:space="preserve"> the </w:t>
      </w:r>
      <w:r w:rsidR="00E44DCD" w:rsidRPr="00E44DCD">
        <w:rPr>
          <w:i/>
          <w:iCs/>
        </w:rPr>
        <w:t>tul4</w:t>
      </w:r>
      <w:r w:rsidR="00E44DCD">
        <w:t xml:space="preserve"> </w:t>
      </w:r>
      <w:r w:rsidR="00E44DCD" w:rsidRPr="004F3313">
        <w:t>5</w:t>
      </w:r>
      <w:r w:rsidR="00E44DCD" w:rsidRPr="004F3313">
        <w:rPr>
          <w:rFonts w:cs="Arial"/>
        </w:rPr>
        <w:t>´</w:t>
      </w:r>
      <w:r w:rsidR="00E44DCD" w:rsidRPr="004F3313">
        <w:t xml:space="preserve"> UTR</w:t>
      </w:r>
      <w:r w:rsidR="00E44DCD">
        <w:t xml:space="preserve"> produced 51-fold more fluorescence than the </w:t>
      </w:r>
      <w:r w:rsidR="00E44DCD" w:rsidRPr="00E44DCD">
        <w:rPr>
          <w:i/>
          <w:iCs/>
        </w:rPr>
        <w:t>mraY</w:t>
      </w:r>
      <w:r w:rsidR="00E44DCD">
        <w:t xml:space="preserve"> </w:t>
      </w:r>
      <w:r w:rsidR="00E44DCD" w:rsidRPr="004F3313">
        <w:t>5</w:t>
      </w:r>
      <w:r w:rsidR="00E44DCD" w:rsidRPr="004F3313">
        <w:rPr>
          <w:rFonts w:cs="Arial"/>
        </w:rPr>
        <w:t>´</w:t>
      </w:r>
      <w:r w:rsidR="00E44DCD" w:rsidRPr="004F3313">
        <w:t xml:space="preserve"> UTR</w:t>
      </w:r>
      <w:r w:rsidR="00E44DCD">
        <w:t xml:space="preserve">, with all other UTRs somewhere between (Chapter 3, Figure 1B and Suppl. </w:t>
      </w:r>
      <w:r w:rsidR="00E44DCD">
        <w:lastRenderedPageBreak/>
        <w:t xml:space="preserve">Fig. 2). </w:t>
      </w:r>
      <w:r w:rsidR="00F54A7B">
        <w:t xml:space="preserve">The </w:t>
      </w:r>
      <w:r w:rsidR="009379C0">
        <w:t>simplest</w:t>
      </w:r>
      <w:r w:rsidR="00F54A7B">
        <w:t xml:space="preserve"> explanation </w:t>
      </w:r>
      <w:r w:rsidR="009379C0">
        <w:t xml:space="preserve">relates to </w:t>
      </w:r>
      <w:r w:rsidR="00F54A7B">
        <w:t xml:space="preserve">differences </w:t>
      </w:r>
      <w:commentRangeStart w:id="28"/>
      <w:r w:rsidR="00F54A7B">
        <w:t>in Shine-Dalgarno strength</w:t>
      </w:r>
      <w:commentRangeEnd w:id="28"/>
      <w:r w:rsidR="009379C0">
        <w:rPr>
          <w:rStyle w:val="CommentReference"/>
        </w:rPr>
        <w:commentReference w:id="28"/>
      </w:r>
      <w:r w:rsidR="00F54A7B">
        <w:t xml:space="preserve">. </w:t>
      </w:r>
      <w:r w:rsidR="009379C0">
        <w:t>Indeed, t</w:t>
      </w:r>
      <w:r w:rsidR="00F54A7B">
        <w:t xml:space="preserve">he </w:t>
      </w:r>
      <w:r w:rsidR="00F54A7B" w:rsidRPr="004F3313">
        <w:t>5</w:t>
      </w:r>
      <w:r w:rsidR="00F54A7B" w:rsidRPr="004F3313">
        <w:rPr>
          <w:rFonts w:cs="Arial"/>
        </w:rPr>
        <w:t>´</w:t>
      </w:r>
      <w:r w:rsidR="00F54A7B" w:rsidRPr="004F3313">
        <w:t xml:space="preserve"> UTR</w:t>
      </w:r>
      <w:r w:rsidR="00F54A7B">
        <w:t xml:space="preserve">s with the lowest overall fluorescence all had SDs with less than 4 nucleotides that complemented the </w:t>
      </w:r>
      <w:proofErr w:type="spellStart"/>
      <w:r w:rsidR="00F54A7B">
        <w:t>aSD</w:t>
      </w:r>
      <w:proofErr w:type="spellEnd"/>
      <w:r w:rsidR="00F54A7B">
        <w:t>.</w:t>
      </w:r>
    </w:p>
    <w:p w14:paraId="17C97CC4" w14:textId="211DE798" w:rsidR="004331F4" w:rsidRDefault="00F54A7B" w:rsidP="00FE70D3">
      <w:pPr>
        <w:spacing w:line="480" w:lineRule="auto"/>
        <w:jc w:val="both"/>
      </w:pPr>
      <w:r>
        <w:tab/>
        <w:t xml:space="preserve">The numerous alterations we made to the </w:t>
      </w:r>
      <w:r w:rsidRPr="00F54A7B">
        <w:rPr>
          <w:i/>
          <w:iCs/>
        </w:rPr>
        <w:t>mraY</w:t>
      </w:r>
      <w:r>
        <w:t xml:space="preserve"> and </w:t>
      </w:r>
      <w:r w:rsidRPr="00F54A7B">
        <w:rPr>
          <w:i/>
          <w:iCs/>
        </w:rPr>
        <w:t>pdpA</w:t>
      </w:r>
      <w:r>
        <w:t xml:space="preserve"> </w:t>
      </w:r>
      <w:r w:rsidRPr="004F3313">
        <w:t>5</w:t>
      </w:r>
      <w:r w:rsidRPr="004F3313">
        <w:rPr>
          <w:rFonts w:cs="Arial"/>
        </w:rPr>
        <w:t>´</w:t>
      </w:r>
      <w:r>
        <w:rPr>
          <w:rFonts w:cs="Arial"/>
        </w:rPr>
        <w:t xml:space="preserve"> </w:t>
      </w:r>
      <w:r>
        <w:t>UTRs also impacted overall protein production</w:t>
      </w:r>
      <w:r w:rsidR="005A08E0">
        <w:t>, but this seem</w:t>
      </w:r>
      <w:r w:rsidR="005E217B">
        <w:t>ed</w:t>
      </w:r>
      <w:r w:rsidR="005A08E0">
        <w:t xml:space="preserve"> to be independent of </w:t>
      </w:r>
      <w:r>
        <w:t>bS21-2</w:t>
      </w:r>
      <w:r w:rsidR="005A08E0">
        <w:t xml:space="preserve">. </w:t>
      </w:r>
      <w:commentRangeStart w:id="29"/>
      <w:r w:rsidR="005A08E0">
        <w:t>S</w:t>
      </w:r>
      <w:r>
        <w:t xml:space="preserve">ome </w:t>
      </w:r>
      <w:r w:rsidR="005A08E0">
        <w:t>mutations that led to loss of bS21-2-responsiveness had</w:t>
      </w:r>
      <w:r>
        <w:t xml:space="preserve"> </w:t>
      </w:r>
      <w:r w:rsidR="005A08E0">
        <w:t>lower</w:t>
      </w:r>
      <w:r>
        <w:t xml:space="preserve"> protein production</w:t>
      </w:r>
      <w:r w:rsidR="005A08E0">
        <w:t xml:space="preserve"> than the wild-type 5</w:t>
      </w:r>
      <w:r w:rsidR="005A08E0" w:rsidRPr="004F3313">
        <w:rPr>
          <w:rFonts w:cs="Arial"/>
        </w:rPr>
        <w:t>´</w:t>
      </w:r>
      <w:r w:rsidR="005A08E0">
        <w:rPr>
          <w:rFonts w:cs="Arial"/>
        </w:rPr>
        <w:t xml:space="preserve"> </w:t>
      </w:r>
      <w:r w:rsidR="005A08E0">
        <w:t>UTR</w:t>
      </w:r>
      <w:r>
        <w:t xml:space="preserve">, </w:t>
      </w:r>
      <w:r w:rsidR="005A08E0">
        <w:t>but the reverse was also true with other mutations</w:t>
      </w:r>
      <w:r>
        <w:t>.</w:t>
      </w:r>
      <w:r w:rsidR="00387548">
        <w:t xml:space="preserve"> </w:t>
      </w:r>
      <w:commentRangeEnd w:id="29"/>
      <w:r w:rsidR="0081509D">
        <w:rPr>
          <w:rStyle w:val="CommentReference"/>
        </w:rPr>
        <w:commentReference w:id="29"/>
      </w:r>
      <w:r w:rsidR="00387548">
        <w:t>It</w:t>
      </w:r>
      <w:r w:rsidR="00771BC6">
        <w:t xml:space="preserve"> i</w:t>
      </w:r>
      <w:r w:rsidR="00387548">
        <w:t xml:space="preserve">s clear that there are pleiotropic effects of each mutation driving changes in overall protein production, but identification of </w:t>
      </w:r>
      <w:r w:rsidR="00771BC6">
        <w:t>the precise mechanism</w:t>
      </w:r>
      <w:r w:rsidR="000827EC">
        <w:t xml:space="preserve"> </w:t>
      </w:r>
      <w:r w:rsidR="00387548">
        <w:t xml:space="preserve">was beyond the scope of the current study. That said, the </w:t>
      </w:r>
      <w:r w:rsidR="00387548" w:rsidRPr="004F3313">
        <w:t>5</w:t>
      </w:r>
      <w:r w:rsidR="00387548" w:rsidRPr="004F3313">
        <w:rPr>
          <w:rFonts w:cs="Arial"/>
        </w:rPr>
        <w:t>´</w:t>
      </w:r>
      <w:r w:rsidR="00387548">
        <w:rPr>
          <w:rFonts w:cs="Arial"/>
        </w:rPr>
        <w:t xml:space="preserve"> </w:t>
      </w:r>
      <w:r w:rsidR="00387548">
        <w:t>UTRs that led to the most protein production were modifications improving Shine</w:t>
      </w:r>
      <w:r w:rsidR="00863B75">
        <w:t>-</w:t>
      </w:r>
      <w:r w:rsidR="00387548">
        <w:t>Dalgarno sequences, in an optimal position (-12) relative to the start codon (</w:t>
      </w:r>
      <w:proofErr w:type="gramStart"/>
      <w:r w:rsidR="00387548">
        <w:t>i.e.</w:t>
      </w:r>
      <w:proofErr w:type="gramEnd"/>
      <w:r w:rsidR="00387548">
        <w:t xml:space="preserve"> </w:t>
      </w:r>
      <w:proofErr w:type="spellStart"/>
      <w:r w:rsidR="00387548">
        <w:t>movedSD</w:t>
      </w:r>
      <w:proofErr w:type="spellEnd"/>
      <w:r w:rsidR="00387548">
        <w:t xml:space="preserve"> was not highly translated despite perfect complementarity with the </w:t>
      </w:r>
      <w:proofErr w:type="spellStart"/>
      <w:r w:rsidR="00387548">
        <w:t>aSD</w:t>
      </w:r>
      <w:proofErr w:type="spellEnd"/>
      <w:r w:rsidR="00387548">
        <w:t>; Chapter 3, Figure 2B).</w:t>
      </w:r>
    </w:p>
    <w:p w14:paraId="03AA2F05" w14:textId="77777777" w:rsidR="00F54A7B" w:rsidRPr="007A14C6" w:rsidRDefault="00F54A7B" w:rsidP="00FE70D3">
      <w:pPr>
        <w:spacing w:line="480" w:lineRule="auto"/>
        <w:jc w:val="both"/>
      </w:pPr>
    </w:p>
    <w:p w14:paraId="5548C6E3" w14:textId="3020AD7C" w:rsidR="00D06E30" w:rsidRPr="00D06E30" w:rsidRDefault="00D06E30" w:rsidP="00FE70D3">
      <w:pPr>
        <w:spacing w:line="480" w:lineRule="auto"/>
        <w:jc w:val="both"/>
        <w:rPr>
          <w:u w:val="single"/>
        </w:rPr>
      </w:pPr>
      <w:commentRangeStart w:id="30"/>
      <w:r>
        <w:rPr>
          <w:u w:val="single"/>
        </w:rPr>
        <w:t xml:space="preserve">Open </w:t>
      </w:r>
      <w:r w:rsidRPr="00D274AF">
        <w:rPr>
          <w:u w:val="single"/>
        </w:rPr>
        <w:t xml:space="preserve">Question </w:t>
      </w:r>
      <w:r>
        <w:rPr>
          <w:u w:val="single"/>
        </w:rPr>
        <w:t>8: Do mRNA with poor Shine</w:t>
      </w:r>
      <w:r w:rsidR="00771BC6">
        <w:rPr>
          <w:u w:val="single"/>
        </w:rPr>
        <w:t>-</w:t>
      </w:r>
      <w:r>
        <w:rPr>
          <w:u w:val="single"/>
        </w:rPr>
        <w:t xml:space="preserve">Dalgarno sequences (or species with a majority of mRNA lacking SDs) require </w:t>
      </w:r>
      <w:commentRangeEnd w:id="30"/>
      <w:r w:rsidR="006768B1">
        <w:rPr>
          <w:rStyle w:val="CommentReference"/>
        </w:rPr>
        <w:commentReference w:id="30"/>
      </w:r>
      <w:r>
        <w:rPr>
          <w:u w:val="single"/>
        </w:rPr>
        <w:t>bS21?</w:t>
      </w:r>
    </w:p>
    <w:p w14:paraId="688C306E" w14:textId="578C58A1" w:rsidR="009250A1" w:rsidRDefault="00531B93" w:rsidP="00FE70D3">
      <w:pPr>
        <w:spacing w:line="480" w:lineRule="auto"/>
        <w:ind w:firstLine="720"/>
        <w:jc w:val="both"/>
      </w:pPr>
      <w:r>
        <w:t xml:space="preserve">The Shine-Dalgarno is well-documented to play an important role in translation initiation in bacteria such as </w:t>
      </w:r>
      <w:r w:rsidRPr="009250A1">
        <w:rPr>
          <w:i/>
          <w:iCs/>
        </w:rPr>
        <w:t>E. coli</w:t>
      </w:r>
      <w:r>
        <w:t xml:space="preserve"> and </w:t>
      </w:r>
      <w:r w:rsidRPr="009250A1">
        <w:rPr>
          <w:i/>
          <w:iCs/>
        </w:rPr>
        <w:t>B. subtilis</w:t>
      </w:r>
      <w:r>
        <w:t>, with better complementarity between the Shine</w:t>
      </w:r>
      <w:r w:rsidR="00771BC6">
        <w:t>-</w:t>
      </w:r>
      <w:r>
        <w:t>Dalgarno and anti-Shine</w:t>
      </w:r>
      <w:r w:rsidR="00771BC6">
        <w:t>-</w:t>
      </w:r>
      <w:r>
        <w:t>Dalgarno improving translation efficiency in these species (</w:t>
      </w:r>
      <w:proofErr w:type="spellStart"/>
      <w:r>
        <w:t>Vellanworth</w:t>
      </w:r>
      <w:proofErr w:type="spellEnd"/>
      <w:r>
        <w:t xml:space="preserve"> et al. 1992; Saito et al. 2020). However, there is great diversity of </w:t>
      </w:r>
      <w:r w:rsidR="001A1266">
        <w:t>SD</w:t>
      </w:r>
      <w:r>
        <w:t xml:space="preserve"> presence and strength both within and across species (Wen et al. 2020). In some species, as few as 11% </w:t>
      </w:r>
      <w:r>
        <w:lastRenderedPageBreak/>
        <w:t xml:space="preserve">of mRNAs have </w:t>
      </w:r>
      <w:r w:rsidR="001A1266">
        <w:t>SD</w:t>
      </w:r>
      <w:r>
        <w:t xml:space="preserve"> sequences, </w:t>
      </w:r>
      <w:r w:rsidR="001A1266">
        <w:t>while</w:t>
      </w:r>
      <w:r>
        <w:t xml:space="preserve"> in other</w:t>
      </w:r>
      <w:r w:rsidR="001A1266">
        <w:t xml:space="preserve"> species</w:t>
      </w:r>
      <w:r>
        <w:t xml:space="preserve"> it can be as high as 90%. In </w:t>
      </w:r>
      <w:r w:rsidR="009250A1" w:rsidRPr="009250A1">
        <w:rPr>
          <w:i/>
          <w:iCs/>
        </w:rPr>
        <w:t>F. tularensis</w:t>
      </w:r>
      <w:r w:rsidR="009250A1">
        <w:t xml:space="preserve"> </w:t>
      </w:r>
      <w:r>
        <w:t xml:space="preserve">LVS, we reviewed </w:t>
      </w:r>
      <w:r w:rsidR="001A1266">
        <w:t xml:space="preserve">upstream sequences of </w:t>
      </w:r>
      <w:r>
        <w:t xml:space="preserve">240 genes and found that about 53% have </w:t>
      </w:r>
      <w:r w:rsidR="001A1266">
        <w:t>SD</w:t>
      </w:r>
      <w:r>
        <w:t xml:space="preserve"> sequences that match at least 4 nucleotides to the </w:t>
      </w:r>
      <w:proofErr w:type="spellStart"/>
      <w:r w:rsidR="001A1266">
        <w:t>aSD</w:t>
      </w:r>
      <w:proofErr w:type="spellEnd"/>
      <w:r>
        <w:t xml:space="preserve"> sequence. Less than 1% have a perfect </w:t>
      </w:r>
      <w:r w:rsidR="001A1266">
        <w:t>SD</w:t>
      </w:r>
      <w:r>
        <w:t xml:space="preserve"> sequence (AGGAGG). </w:t>
      </w:r>
      <w:r w:rsidRPr="009250A1">
        <w:rPr>
          <w:i/>
          <w:iCs/>
        </w:rPr>
        <w:t>F. tularensis</w:t>
      </w:r>
      <w:r>
        <w:t xml:space="preserve"> </w:t>
      </w:r>
      <w:r w:rsidR="001A1266">
        <w:t>has fewer SDs</w:t>
      </w:r>
      <w:r>
        <w:t xml:space="preserve"> than the average of gamma proteobacteria (64%) but considered moderate-high in terms of SD content compared to </w:t>
      </w:r>
      <w:r w:rsidR="009250A1">
        <w:t>prokaryotes more broadly</w:t>
      </w:r>
      <w:r>
        <w:t xml:space="preserve"> (Nakagawa et al. 2010). </w:t>
      </w:r>
    </w:p>
    <w:p w14:paraId="7ED5C943" w14:textId="5C4076D4" w:rsidR="00D06E30" w:rsidRDefault="009250A1" w:rsidP="00FE70D3">
      <w:pPr>
        <w:spacing w:line="480" w:lineRule="auto"/>
        <w:ind w:firstLine="720"/>
        <w:jc w:val="both"/>
      </w:pPr>
      <w:r>
        <w:t xml:space="preserve">mRNA that do not have canonical SD sequences require alternate pathways of translation initiation. Our data suggests that bS21 may play a role in translation initiation of mRNA with non-ideal SD sequences. </w:t>
      </w:r>
      <w:r w:rsidR="00026D62">
        <w:t>In our review of the literature, t</w:t>
      </w:r>
      <w:r>
        <w:t xml:space="preserve">here does not appear to be a clear </w:t>
      </w:r>
      <w:r w:rsidR="001A1266">
        <w:t>trend</w:t>
      </w:r>
      <w:r>
        <w:t xml:space="preserve"> between bS21 </w:t>
      </w:r>
      <w:r w:rsidR="00026D62">
        <w:t xml:space="preserve">presence </w:t>
      </w:r>
      <w:r>
        <w:t>and</w:t>
      </w:r>
      <w:r w:rsidR="00026D62">
        <w:t xml:space="preserve"> low SD-content. </w:t>
      </w:r>
      <w:commentRangeStart w:id="31"/>
      <w:r w:rsidR="00026D62">
        <w:t xml:space="preserve">For </w:t>
      </w:r>
      <w:proofErr w:type="gramStart"/>
      <w:r w:rsidR="00026D62">
        <w:t>instance</w:t>
      </w:r>
      <w:commentRangeEnd w:id="31"/>
      <w:proofErr w:type="gramEnd"/>
      <w:r w:rsidR="001A1266">
        <w:rPr>
          <w:rStyle w:val="CommentReference"/>
        </w:rPr>
        <w:commentReference w:id="31"/>
      </w:r>
      <w:r w:rsidR="00026D62">
        <w:t xml:space="preserve">, </w:t>
      </w:r>
      <w:r w:rsidR="00026D62" w:rsidRPr="00D06E30">
        <w:rPr>
          <w:i/>
          <w:iCs/>
        </w:rPr>
        <w:t>B. subtilis</w:t>
      </w:r>
      <w:r w:rsidR="00026D62">
        <w:t xml:space="preserve"> has bS21 but 78% of mRNAs have a Shine</w:t>
      </w:r>
      <w:r w:rsidR="00771BC6">
        <w:t>-</w:t>
      </w:r>
      <w:r w:rsidR="00026D62">
        <w:t xml:space="preserve">Dalgarno sequence (Nakagawa et al. 2010). </w:t>
      </w:r>
      <w:r w:rsidR="001A1266">
        <w:t>That said, a</w:t>
      </w:r>
      <w:r w:rsidR="00026D62">
        <w:t>ny correlation may be obscured because of alternate pathways for translating from SD-lacking mRNA or leaderless mRNA. For instance, bS1 plays a key role in translation initiation without SD-binding and leaderless mRNA can be translated by 70S ribosomes</w:t>
      </w:r>
      <w:r w:rsidR="00026D62" w:rsidRPr="00026D62">
        <w:t xml:space="preserve"> </w:t>
      </w:r>
      <w:r w:rsidR="00026D62">
        <w:t xml:space="preserve">(Kolb et al. 1977; Leiva &amp; Katz, 2022). Nonetheless, our research indicates that bS21-moderated translation initiation may be an adaptive pathway for </w:t>
      </w:r>
      <w:r w:rsidR="008D4454">
        <w:t>species containing significant numbers of mRNAs</w:t>
      </w:r>
      <w:r w:rsidR="00026D62">
        <w:t xml:space="preserve"> with poor SD sequences, a problem that is faced by a wide diversity of bacteria. </w:t>
      </w:r>
    </w:p>
    <w:p w14:paraId="3EAC1164" w14:textId="579CD504" w:rsidR="009C0948" w:rsidRDefault="00D06E30" w:rsidP="00FE70D3">
      <w:pPr>
        <w:spacing w:line="480" w:lineRule="auto"/>
        <w:ind w:firstLine="720"/>
        <w:jc w:val="both"/>
      </w:pPr>
      <w:commentRangeStart w:id="32"/>
      <w:r>
        <w:t xml:space="preserve">To more directly assess the question of </w:t>
      </w:r>
      <w:r w:rsidRPr="00D06E30">
        <w:rPr>
          <w:i/>
          <w:iCs/>
        </w:rPr>
        <w:t>F. tularensis</w:t>
      </w:r>
      <w:r>
        <w:t xml:space="preserve"> </w:t>
      </w:r>
      <w:r w:rsidR="003B12A2">
        <w:t xml:space="preserve">mRNA with poor </w:t>
      </w:r>
      <w:r w:rsidR="005D7F87">
        <w:t>SDs</w:t>
      </w:r>
      <w:r w:rsidR="003B12A2">
        <w:t xml:space="preserve"> requiring </w:t>
      </w:r>
      <w:r w:rsidR="000C6A7C">
        <w:t xml:space="preserve">bS21, we predicted SD sequences for genes that have lower protein abundance in the bS21-2 knockout (n=74), higher protein abundance </w:t>
      </w:r>
      <w:r w:rsidR="000C6A7C">
        <w:lastRenderedPageBreak/>
        <w:t xml:space="preserve">(n=84), or no change in protein abundance (n=82). </w:t>
      </w:r>
      <w:r w:rsidR="00FF000E">
        <w:t xml:space="preserve">We found that the genes with lower protein abundance had strong SD sequences (defined by 4 or more nucleotides complementary to the </w:t>
      </w:r>
      <w:proofErr w:type="spellStart"/>
      <w:r w:rsidR="00FF000E">
        <w:t>aSD</w:t>
      </w:r>
      <w:proofErr w:type="spellEnd"/>
      <w:r w:rsidR="00FF000E">
        <w:t>) in only 39% of transcripts, compared to 54% or 69% in higher abundance or unchanged genes, respectively. This moderate trend indicates bS21-2-responsive genes are more likely to have weak SD sequences, which is consistent with a model in which bS21-2 improves translation predominately of poorly translated genes.</w:t>
      </w:r>
      <w:r w:rsidR="00034A89">
        <w:t xml:space="preserve"> </w:t>
      </w:r>
      <w:commentRangeEnd w:id="32"/>
      <w:r w:rsidR="00C324D9">
        <w:rPr>
          <w:rStyle w:val="CommentReference"/>
        </w:rPr>
        <w:commentReference w:id="32"/>
      </w:r>
    </w:p>
    <w:p w14:paraId="070A6338" w14:textId="0D5F584B" w:rsidR="001F77ED" w:rsidRDefault="006768B1" w:rsidP="001F77ED">
      <w:pPr>
        <w:spacing w:line="480" w:lineRule="auto"/>
        <w:jc w:val="both"/>
      </w:pPr>
      <w:r w:rsidRPr="006768B1">
        <w:rPr>
          <w:highlight w:val="yellow"/>
        </w:rPr>
        <w:t>How to wrap this up?</w:t>
      </w:r>
    </w:p>
    <w:sectPr w:rsidR="001F77ED" w:rsidSect="00FE70D3">
      <w:pgSz w:w="12240" w:h="15840"/>
      <w:pgMar w:top="1440" w:right="1440" w:bottom="1440" w:left="2448"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annah" w:date="2023-02-23T14:01:00Z" w:initials="H">
    <w:p w14:paraId="54DC370B" w14:textId="6318D8FF" w:rsidR="00806879" w:rsidRDefault="00806879">
      <w:pPr>
        <w:pStyle w:val="CommentText"/>
      </w:pPr>
      <w:r>
        <w:rPr>
          <w:rStyle w:val="CommentReference"/>
        </w:rPr>
        <w:annotationRef/>
      </w:r>
      <w:r>
        <w:t xml:space="preserve">I can significantly cut down on background summary and the summary of the two papers, but I thought it would be better to start with too much and cut back. </w:t>
      </w:r>
    </w:p>
    <w:p w14:paraId="4B4987BA" w14:textId="77777777" w:rsidR="00806879" w:rsidRDefault="00806879">
      <w:pPr>
        <w:pStyle w:val="CommentText"/>
      </w:pPr>
    </w:p>
    <w:p w14:paraId="370A7200" w14:textId="0B73C0D9" w:rsidR="00806879" w:rsidRDefault="00806879">
      <w:pPr>
        <w:pStyle w:val="CommentText"/>
      </w:pPr>
      <w:r>
        <w:t xml:space="preserve">I have marked sentences that I think can be removed, but wanted to let you look at the whole thing intact. Let me know if you have other thoughts on whole sections </w:t>
      </w:r>
      <w:r w:rsidR="0064214F">
        <w:t>or sentences to remove</w:t>
      </w:r>
      <w:r>
        <w:t>, and I’ll work on trimming excess wording after the initial broad review.</w:t>
      </w:r>
    </w:p>
  </w:comment>
  <w:comment w:id="1" w:author="Hannah" w:date="2023-02-23T14:04:00Z" w:initials="H">
    <w:p w14:paraId="1B04DCD0" w14:textId="3A255A75" w:rsidR="00806879" w:rsidRDefault="00806879">
      <w:pPr>
        <w:pStyle w:val="CommentText"/>
      </w:pPr>
      <w:r>
        <w:rPr>
          <w:rStyle w:val="CommentReference"/>
        </w:rPr>
        <w:annotationRef/>
      </w:r>
      <w:r>
        <w:t>Remove?</w:t>
      </w:r>
    </w:p>
  </w:comment>
  <w:comment w:id="2" w:author="Hannah" w:date="2023-02-23T14:06:00Z" w:initials="H">
    <w:p w14:paraId="75DC05C2" w14:textId="6A748D90" w:rsidR="00806879" w:rsidRDefault="00806879">
      <w:pPr>
        <w:pStyle w:val="CommentText"/>
      </w:pPr>
      <w:r>
        <w:rPr>
          <w:rStyle w:val="CommentReference"/>
        </w:rPr>
        <w:annotationRef/>
      </w:r>
      <w:r>
        <w:t>Remove?</w:t>
      </w:r>
    </w:p>
  </w:comment>
  <w:comment w:id="3" w:author="Hannah" w:date="2023-02-23T14:07:00Z" w:initials="H">
    <w:p w14:paraId="13CD915D" w14:textId="79FF6F85" w:rsidR="00806879" w:rsidRDefault="00806879">
      <w:pPr>
        <w:pStyle w:val="CommentText"/>
      </w:pPr>
      <w:r>
        <w:rPr>
          <w:rStyle w:val="CommentReference"/>
        </w:rPr>
        <w:annotationRef/>
      </w:r>
      <w:r>
        <w:t>Too much detail?</w:t>
      </w:r>
    </w:p>
  </w:comment>
  <w:comment w:id="4" w:author="Hannah" w:date="2023-02-23T14:07:00Z" w:initials="H">
    <w:p w14:paraId="57663BD3" w14:textId="452A715A" w:rsidR="00806879" w:rsidRDefault="00806879">
      <w:pPr>
        <w:pStyle w:val="CommentText"/>
      </w:pPr>
      <w:r>
        <w:rPr>
          <w:rStyle w:val="CommentReference"/>
        </w:rPr>
        <w:annotationRef/>
      </w:r>
      <w:r>
        <w:t>Too much detail?</w:t>
      </w:r>
    </w:p>
  </w:comment>
  <w:comment w:id="5" w:author="Hannah" w:date="2023-02-23T14:09:00Z" w:initials="H">
    <w:p w14:paraId="063447EA" w14:textId="1273BB31" w:rsidR="00806879" w:rsidRDefault="00806879">
      <w:pPr>
        <w:pStyle w:val="CommentText"/>
      </w:pPr>
      <w:r>
        <w:rPr>
          <w:rStyle w:val="CommentReference"/>
        </w:rPr>
        <w:annotationRef/>
      </w:r>
      <w:r>
        <w:t>Remove?</w:t>
      </w:r>
    </w:p>
  </w:comment>
  <w:comment w:id="6" w:author="Hannah" w:date="2023-02-23T14:12:00Z" w:initials="H">
    <w:p w14:paraId="16A92F22" w14:textId="429CE466" w:rsidR="005C46A7" w:rsidRDefault="005C46A7">
      <w:pPr>
        <w:pStyle w:val="CommentText"/>
      </w:pPr>
      <w:r>
        <w:rPr>
          <w:rStyle w:val="CommentReference"/>
        </w:rPr>
        <w:annotationRef/>
      </w:r>
      <w:r>
        <w:t>Remove?</w:t>
      </w:r>
    </w:p>
  </w:comment>
  <w:comment w:id="7" w:author="Hannah" w:date="2023-02-23T14:13:00Z" w:initials="H">
    <w:p w14:paraId="17F2ED3B" w14:textId="5E59F294" w:rsidR="005C46A7" w:rsidRDefault="005C46A7">
      <w:pPr>
        <w:pStyle w:val="CommentText"/>
      </w:pPr>
      <w:r>
        <w:rPr>
          <w:rStyle w:val="CommentReference"/>
        </w:rPr>
        <w:annotationRef/>
      </w:r>
      <w:r>
        <w:t>This whole thing might be too detailed. I could just say that Hfq leads to changes in transcript abundance of PdpB and bS21-2 does not, suggesting they are in distinct pathways?</w:t>
      </w:r>
    </w:p>
  </w:comment>
  <w:comment w:id="8" w:author="Hannah" w:date="2023-02-22T16:08:00Z" w:initials="H">
    <w:p w14:paraId="7FFA0321" w14:textId="73603A49" w:rsidR="00E44DCD" w:rsidRDefault="00E44DCD">
      <w:pPr>
        <w:pStyle w:val="CommentText"/>
      </w:pPr>
      <w:r>
        <w:rPr>
          <w:rStyle w:val="CommentReference"/>
        </w:rPr>
        <w:annotationRef/>
      </w:r>
      <w:r>
        <w:t xml:space="preserve">Maybe next week we can talk about what order to put all of these in? </w:t>
      </w:r>
    </w:p>
  </w:comment>
  <w:comment w:id="9" w:author="Hannah" w:date="2023-02-23T14:16:00Z" w:initials="H">
    <w:p w14:paraId="153E4A77" w14:textId="0C0E7278" w:rsidR="00CA19F1" w:rsidRDefault="00CA19F1">
      <w:pPr>
        <w:pStyle w:val="CommentText"/>
      </w:pPr>
      <w:r>
        <w:rPr>
          <w:rStyle w:val="CommentReference"/>
        </w:rPr>
        <w:annotationRef/>
      </w:r>
      <w:r>
        <w:t>I just wanted to try writing this up to see what it looked like here in the discussion. I’m not convinced it’s worth mentioning to be honest.</w:t>
      </w:r>
    </w:p>
  </w:comment>
  <w:comment w:id="10" w:author="Hannah" w:date="2023-02-23T14:23:00Z" w:initials="H">
    <w:p w14:paraId="2B4D966C" w14:textId="288FD181" w:rsidR="00F44B65" w:rsidRDefault="00F44B65">
      <w:pPr>
        <w:pStyle w:val="CommentText"/>
      </w:pPr>
      <w:r>
        <w:rPr>
          <w:rStyle w:val="CommentReference"/>
        </w:rPr>
        <w:annotationRef/>
      </w:r>
      <w:r>
        <w:t>Do I need to go into more detail?</w:t>
      </w:r>
    </w:p>
  </w:comment>
  <w:comment w:id="11" w:author="Hannah" w:date="2023-02-23T15:19:00Z" w:initials="H">
    <w:p w14:paraId="4C57A222" w14:textId="3351401A" w:rsidR="004A7B0C" w:rsidRDefault="004A7B0C">
      <w:pPr>
        <w:pStyle w:val="CommentText"/>
      </w:pPr>
      <w:r>
        <w:rPr>
          <w:rStyle w:val="CommentReference"/>
        </w:rPr>
        <w:annotationRef/>
      </w:r>
      <w:r>
        <w:t>Remove? Repeated at the start of next paragraph</w:t>
      </w:r>
    </w:p>
  </w:comment>
  <w:comment w:id="12" w:author="Hannah" w:date="2023-02-23T15:25:00Z" w:initials="H">
    <w:p w14:paraId="4840A899" w14:textId="095C7E0E" w:rsidR="004A7B0C" w:rsidRDefault="004A7B0C">
      <w:pPr>
        <w:pStyle w:val="CommentText"/>
      </w:pPr>
      <w:r>
        <w:rPr>
          <w:rStyle w:val="CommentReference"/>
        </w:rPr>
        <w:annotationRef/>
      </w:r>
      <w:r>
        <w:t>Does this make sense or do I need to flesh this out some more? I’m basically suggesting that if a protease is more abundant in dbS21-2, we can knock it out and see if protein stability returns to normal; if a protease is less abundant in dbS21-2, we could ectopically express it.</w:t>
      </w:r>
    </w:p>
  </w:comment>
  <w:comment w:id="13" w:author="Hannah" w:date="2023-02-21T14:25:00Z" w:initials="H">
    <w:p w14:paraId="0BC81653" w14:textId="2CF4C44A" w:rsidR="00456A14" w:rsidRDefault="00456A14">
      <w:pPr>
        <w:pStyle w:val="CommentText"/>
      </w:pPr>
      <w:r>
        <w:rPr>
          <w:rStyle w:val="CommentReference"/>
        </w:rPr>
        <w:annotationRef/>
      </w:r>
      <w:r>
        <w:t xml:space="preserve">Do I need to explain this more in-depth? I mention the action of </w:t>
      </w:r>
      <w:proofErr w:type="spellStart"/>
      <w:r>
        <w:t>rifamipicin</w:t>
      </w:r>
      <w:proofErr w:type="spellEnd"/>
      <w:r>
        <w:t xml:space="preserve"> in the mRNA stability question so I could put that first if it would make this more clear?</w:t>
      </w:r>
    </w:p>
  </w:comment>
  <w:comment w:id="14" w:author="Hannah" w:date="2023-02-20T13:26:00Z" w:initials="H">
    <w:p w14:paraId="33AB08F5" w14:textId="12F4F3A8" w:rsidR="00C164C8" w:rsidRDefault="00C164C8">
      <w:pPr>
        <w:pStyle w:val="CommentText"/>
      </w:pPr>
      <w:r>
        <w:rPr>
          <w:rStyle w:val="CommentReference"/>
        </w:rPr>
        <w:annotationRef/>
      </w:r>
      <w:r>
        <w:t>Do I need to look up other examples</w:t>
      </w:r>
      <w:r w:rsidR="001E6636">
        <w:t xml:space="preserve"> from our proteomics screen</w:t>
      </w:r>
      <w:r>
        <w:t xml:space="preserve"> or is this sufficient for now?</w:t>
      </w:r>
    </w:p>
  </w:comment>
  <w:comment w:id="15" w:author="Hannah" w:date="2023-02-22T16:59:00Z" w:initials="H">
    <w:p w14:paraId="5EBE1818" w14:textId="0087EA81" w:rsidR="0027656F" w:rsidRDefault="0027656F">
      <w:pPr>
        <w:pStyle w:val="CommentText"/>
      </w:pPr>
      <w:r>
        <w:rPr>
          <w:rStyle w:val="CommentReference"/>
        </w:rPr>
        <w:annotationRef/>
      </w:r>
      <w:r>
        <w:t>I feel like this could be said more clearly…</w:t>
      </w:r>
    </w:p>
  </w:comment>
  <w:comment w:id="16" w:author="Hannah" w:date="2023-02-24T09:11:00Z" w:initials="H">
    <w:p w14:paraId="34603351" w14:textId="07175BD8" w:rsidR="00404F87" w:rsidRDefault="00404F87">
      <w:pPr>
        <w:pStyle w:val="CommentText"/>
      </w:pPr>
      <w:r>
        <w:rPr>
          <w:rStyle w:val="CommentReference"/>
        </w:rPr>
        <w:annotationRef/>
      </w:r>
      <w:r>
        <w:t>Or we could use an in vitro assay where we can change the percentage of WT ribosomes vs dbs21-2 ribosomes but I haven’t introduced the in vitro assay yet so it might be a lot to explain. I could also suggest an inducible promoter?</w:t>
      </w:r>
    </w:p>
  </w:comment>
  <w:comment w:id="17" w:author="Hannah" w:date="2023-02-24T09:14:00Z" w:initials="H">
    <w:p w14:paraId="1A91E11D" w14:textId="6DB22F8F" w:rsidR="00840885" w:rsidRDefault="00840885">
      <w:pPr>
        <w:pStyle w:val="CommentText"/>
      </w:pPr>
      <w:r>
        <w:rPr>
          <w:rStyle w:val="CommentReference"/>
        </w:rPr>
        <w:annotationRef/>
      </w:r>
      <w:r>
        <w:t>Cite the specific kit and producer?</w:t>
      </w:r>
    </w:p>
  </w:comment>
  <w:comment w:id="18" w:author="Hannah" w:date="2023-02-24T09:22:00Z" w:initials="H">
    <w:p w14:paraId="6BB7397F" w14:textId="30E7959D" w:rsidR="006E344F" w:rsidRDefault="006E344F">
      <w:pPr>
        <w:pStyle w:val="CommentText"/>
      </w:pPr>
      <w:r>
        <w:rPr>
          <w:rStyle w:val="CommentReference"/>
        </w:rPr>
        <w:annotationRef/>
      </w:r>
      <w:r>
        <w:t>Remove? Maybe too down in the weeds compared to the other proposed experiments</w:t>
      </w:r>
    </w:p>
  </w:comment>
  <w:comment w:id="19" w:author="Hannah" w:date="2023-02-22T17:21:00Z" w:initials="H">
    <w:p w14:paraId="0000152D" w14:textId="3A57C384" w:rsidR="00BE30FA" w:rsidRDefault="00BE30FA">
      <w:pPr>
        <w:pStyle w:val="CommentText"/>
      </w:pPr>
      <w:r>
        <w:rPr>
          <w:rStyle w:val="CommentReference"/>
        </w:rPr>
        <w:annotationRef/>
      </w:r>
      <w:r>
        <w:t xml:space="preserve">Do I need to more explicitly lay out the transcription-translation coupling? </w:t>
      </w:r>
    </w:p>
  </w:comment>
  <w:comment w:id="20" w:author="Hannah" w:date="2023-02-22T15:34:00Z" w:initials="H">
    <w:p w14:paraId="4BD9905D" w14:textId="666FBD2C" w:rsidR="007A14C6" w:rsidRDefault="007A14C6">
      <w:pPr>
        <w:pStyle w:val="CommentText"/>
      </w:pPr>
      <w:r>
        <w:rPr>
          <w:rStyle w:val="CommentReference"/>
        </w:rPr>
        <w:annotationRef/>
      </w:r>
      <w:r>
        <w:t xml:space="preserve">May remove from Chapter 4 and put just in discussion of </w:t>
      </w:r>
      <w:r w:rsidR="00771BC6">
        <w:t>UTR manuscript</w:t>
      </w:r>
      <w:r>
        <w:t xml:space="preserve"> because not broadly relevant to bS21-2</w:t>
      </w:r>
    </w:p>
  </w:comment>
  <w:comment w:id="21" w:author="Hannah" w:date="2023-02-22T17:16:00Z" w:initials="H">
    <w:p w14:paraId="3A71473A" w14:textId="2026C148" w:rsidR="000827EC" w:rsidRDefault="000827EC">
      <w:pPr>
        <w:pStyle w:val="CommentText"/>
      </w:pPr>
      <w:r>
        <w:rPr>
          <w:rStyle w:val="CommentReference"/>
        </w:rPr>
        <w:annotationRef/>
      </w:r>
      <w:r>
        <w:t>I don’t talk about the novicida paper here but I do mention it in the results and I think in the lit review. Do you think that’s okay?</w:t>
      </w:r>
    </w:p>
  </w:comment>
  <w:comment w:id="22" w:author="Hannah" w:date="2023-02-24T09:29:00Z" w:initials="H">
    <w:p w14:paraId="5EB25D0A" w14:textId="109E4969" w:rsidR="00105B51" w:rsidRDefault="00105B51">
      <w:pPr>
        <w:pStyle w:val="CommentText"/>
      </w:pPr>
      <w:r>
        <w:rPr>
          <w:rStyle w:val="CommentReference"/>
        </w:rPr>
        <w:annotationRef/>
      </w:r>
      <w:r>
        <w:t xml:space="preserve">Should we mention the variability in these western blots? If you look at the blot we are going to publish, the third band for iglA in </w:t>
      </w:r>
      <w:proofErr w:type="spellStart"/>
      <w:r>
        <w:t>dhfq</w:t>
      </w:r>
      <w:proofErr w:type="spellEnd"/>
      <w:r>
        <w:t xml:space="preserve"> is way darker than the others. Although, even if we excluded that band from the quantification, we still don’t see a decrease in protein abundance compared to WT, so maybe it’s not worth drawing attention to?</w:t>
      </w:r>
    </w:p>
  </w:comment>
  <w:comment w:id="23" w:author="Hannah" w:date="2023-02-22T15:35:00Z" w:initials="H">
    <w:p w14:paraId="014F595A" w14:textId="394E3B67" w:rsidR="007A14C6" w:rsidRDefault="007A14C6">
      <w:pPr>
        <w:pStyle w:val="CommentText"/>
      </w:pPr>
      <w:r>
        <w:rPr>
          <w:rStyle w:val="CommentReference"/>
        </w:rPr>
        <w:annotationRef/>
      </w:r>
      <w:r>
        <w:t xml:space="preserve">I’m not suggesting any new experiments here because this will likely end up in the discussion of Chapter 3, but if I were to suggest something it would be to see if </w:t>
      </w:r>
      <w:proofErr w:type="spellStart"/>
      <w:r>
        <w:t>RNAses</w:t>
      </w:r>
      <w:proofErr w:type="spellEnd"/>
      <w:r>
        <w:t xml:space="preserve"> copurify with Hfq along with any sRNAs. Maybe we could somehow tag an FPI mRNA to see if comes down with Hfq and RNase together?</w:t>
      </w:r>
    </w:p>
  </w:comment>
  <w:comment w:id="24" w:author="Hannah" w:date="2023-02-24T09:38:00Z" w:initials="H">
    <w:p w14:paraId="6C48FBE4" w14:textId="1716B20E" w:rsidR="00736A46" w:rsidRDefault="00736A46">
      <w:pPr>
        <w:pStyle w:val="CommentText"/>
      </w:pPr>
      <w:r>
        <w:rPr>
          <w:rStyle w:val="CommentReference"/>
        </w:rPr>
        <w:annotationRef/>
      </w:r>
      <w:r>
        <w:t>Remove?</w:t>
      </w:r>
    </w:p>
  </w:comment>
  <w:comment w:id="25" w:author="Hannah" w:date="2023-02-24T09:44:00Z" w:initials="H">
    <w:p w14:paraId="6FEDCAED" w14:textId="65F52674" w:rsidR="00C27711" w:rsidRDefault="00C27711">
      <w:pPr>
        <w:pStyle w:val="CommentText"/>
      </w:pPr>
      <w:r>
        <w:rPr>
          <w:rStyle w:val="CommentReference"/>
        </w:rPr>
        <w:annotationRef/>
      </w:r>
      <w:r>
        <w:t>Should we also do this in the context of overexpressing bS21-3? Then we could say that expressing bS21-3 doesn’t complement expression of these genes?</w:t>
      </w:r>
    </w:p>
  </w:comment>
  <w:comment w:id="26" w:author="Hannah" w:date="2023-02-22T16:06:00Z" w:initials="H">
    <w:p w14:paraId="6CAB1C01" w14:textId="6DFF8E11" w:rsidR="004F3313" w:rsidRDefault="004F3313">
      <w:pPr>
        <w:pStyle w:val="CommentText"/>
      </w:pPr>
      <w:r>
        <w:rPr>
          <w:rStyle w:val="CommentReference"/>
        </w:rPr>
        <w:annotationRef/>
      </w:r>
      <w:r>
        <w:t>This is obviously very theoretical…do I need to propose a set of experiments?</w:t>
      </w:r>
      <w:r w:rsidR="00E44DCD">
        <w:t xml:space="preserve"> Or is this too big of a swing to really include here? </w:t>
      </w:r>
    </w:p>
  </w:comment>
  <w:comment w:id="27" w:author="Hannah" w:date="2023-02-24T09:47:00Z" w:initials="H">
    <w:p w14:paraId="7785C945" w14:textId="0453F41B" w:rsidR="003248E0" w:rsidRDefault="003248E0">
      <w:pPr>
        <w:pStyle w:val="CommentText"/>
      </w:pPr>
      <w:r>
        <w:rPr>
          <w:rStyle w:val="CommentReference"/>
        </w:rPr>
        <w:annotationRef/>
      </w:r>
      <w:r>
        <w:t>Again, this could go to the UTR manuscript discussion instead (or a portion of it)?</w:t>
      </w:r>
    </w:p>
  </w:comment>
  <w:comment w:id="28" w:author="Hannah" w:date="2023-02-22T17:19:00Z" w:initials="H">
    <w:p w14:paraId="4FCF0ECF" w14:textId="32A446A0" w:rsidR="009379C0" w:rsidRDefault="009379C0">
      <w:pPr>
        <w:pStyle w:val="CommentText"/>
      </w:pPr>
      <w:r>
        <w:rPr>
          <w:rStyle w:val="CommentReference"/>
        </w:rPr>
        <w:annotationRef/>
      </w:r>
      <w:r>
        <w:t>Should I mention things that didn’t matter? Like 5’ tail, codon rarity, GC content?</w:t>
      </w:r>
    </w:p>
  </w:comment>
  <w:comment w:id="29" w:author="Hannah" w:date="2023-02-24T09:54:00Z" w:initials="H">
    <w:p w14:paraId="4C3A2B53" w14:textId="29E96ACA" w:rsidR="0081509D" w:rsidRDefault="0081509D">
      <w:pPr>
        <w:pStyle w:val="CommentText"/>
      </w:pPr>
      <w:r>
        <w:rPr>
          <w:rStyle w:val="CommentReference"/>
        </w:rPr>
        <w:annotationRef/>
      </w:r>
      <w:r>
        <w:t>This might be more confusing than informative or maybe I just need to re-word?</w:t>
      </w:r>
    </w:p>
  </w:comment>
  <w:comment w:id="30" w:author="Hannah" w:date="2023-02-23T13:28:00Z" w:initials="H">
    <w:p w14:paraId="2C3DEB61" w14:textId="45C975D0" w:rsidR="006768B1" w:rsidRDefault="006768B1">
      <w:pPr>
        <w:pStyle w:val="CommentText"/>
      </w:pPr>
      <w:r>
        <w:rPr>
          <w:rStyle w:val="CommentReference"/>
        </w:rPr>
        <w:annotationRef/>
      </w:r>
      <w:r>
        <w:t>Add to discussion for UTR manuscript instead?</w:t>
      </w:r>
    </w:p>
  </w:comment>
  <w:comment w:id="31" w:author="Hannah" w:date="2023-02-24T09:58:00Z" w:initials="H">
    <w:p w14:paraId="301B870C" w14:textId="2DADE287" w:rsidR="001A1266" w:rsidRDefault="001A1266">
      <w:pPr>
        <w:pStyle w:val="CommentText"/>
      </w:pPr>
      <w:r>
        <w:rPr>
          <w:rStyle w:val="CommentReference"/>
        </w:rPr>
        <w:annotationRef/>
      </w:r>
      <w:r>
        <w:t xml:space="preserve">Should I also mention F. </w:t>
      </w:r>
      <w:proofErr w:type="spellStart"/>
      <w:r>
        <w:t>johnsiniae</w:t>
      </w:r>
      <w:proofErr w:type="spellEnd"/>
      <w:r>
        <w:t>?</w:t>
      </w:r>
    </w:p>
  </w:comment>
  <w:comment w:id="32" w:author="Hannah" w:date="2023-02-22T18:38:00Z" w:initials="H">
    <w:p w14:paraId="36A4D93D" w14:textId="6A449942" w:rsidR="00C324D9" w:rsidRDefault="00C324D9">
      <w:pPr>
        <w:pStyle w:val="CommentText"/>
      </w:pPr>
      <w:r>
        <w:rPr>
          <w:rStyle w:val="CommentReference"/>
        </w:rPr>
        <w:annotationRef/>
      </w:r>
      <w:r>
        <w:t>Move to results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0A7200" w15:done="0"/>
  <w15:commentEx w15:paraId="1B04DCD0" w15:done="0"/>
  <w15:commentEx w15:paraId="75DC05C2" w15:done="0"/>
  <w15:commentEx w15:paraId="13CD915D" w15:done="0"/>
  <w15:commentEx w15:paraId="57663BD3" w15:done="0"/>
  <w15:commentEx w15:paraId="063447EA" w15:done="0"/>
  <w15:commentEx w15:paraId="16A92F22" w15:done="0"/>
  <w15:commentEx w15:paraId="17F2ED3B" w15:done="0"/>
  <w15:commentEx w15:paraId="7FFA0321" w15:done="0"/>
  <w15:commentEx w15:paraId="153E4A77" w15:done="0"/>
  <w15:commentEx w15:paraId="2B4D966C" w15:done="0"/>
  <w15:commentEx w15:paraId="4C57A222" w15:done="0"/>
  <w15:commentEx w15:paraId="4840A899" w15:done="0"/>
  <w15:commentEx w15:paraId="0BC81653" w15:done="0"/>
  <w15:commentEx w15:paraId="33AB08F5" w15:done="0"/>
  <w15:commentEx w15:paraId="5EBE1818" w15:done="0"/>
  <w15:commentEx w15:paraId="34603351" w15:done="0"/>
  <w15:commentEx w15:paraId="1A91E11D" w15:done="0"/>
  <w15:commentEx w15:paraId="6BB7397F" w15:done="0"/>
  <w15:commentEx w15:paraId="0000152D" w15:done="0"/>
  <w15:commentEx w15:paraId="4BD9905D" w15:done="0"/>
  <w15:commentEx w15:paraId="3A71473A" w15:done="0"/>
  <w15:commentEx w15:paraId="5EB25D0A" w15:done="0"/>
  <w15:commentEx w15:paraId="014F595A" w15:done="0"/>
  <w15:commentEx w15:paraId="6C48FBE4" w15:done="0"/>
  <w15:commentEx w15:paraId="6FEDCAED" w15:done="0"/>
  <w15:commentEx w15:paraId="6CAB1C01" w15:done="0"/>
  <w15:commentEx w15:paraId="7785C945" w15:done="0"/>
  <w15:commentEx w15:paraId="4FCF0ECF" w15:done="0"/>
  <w15:commentEx w15:paraId="4C3A2B53" w15:done="0"/>
  <w15:commentEx w15:paraId="2C3DEB61" w15:done="0"/>
  <w15:commentEx w15:paraId="301B870C" w15:done="0"/>
  <w15:commentEx w15:paraId="36A4D9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F043" w16cex:dateUtc="2023-02-23T19:01:00Z"/>
  <w16cex:commentExtensible w16cex:durableId="27A1F100" w16cex:dateUtc="2023-02-23T19:04:00Z"/>
  <w16cex:commentExtensible w16cex:durableId="27A1F148" w16cex:dateUtc="2023-02-23T19:06:00Z"/>
  <w16cex:commentExtensible w16cex:durableId="27A1F19E" w16cex:dateUtc="2023-02-23T19:07:00Z"/>
  <w16cex:commentExtensible w16cex:durableId="27A1F1B5" w16cex:dateUtc="2023-02-23T19:07:00Z"/>
  <w16cex:commentExtensible w16cex:durableId="27A1F228" w16cex:dateUtc="2023-02-23T19:09:00Z"/>
  <w16cex:commentExtensible w16cex:durableId="27A1F2D9" w16cex:dateUtc="2023-02-23T19:12:00Z"/>
  <w16cex:commentExtensible w16cex:durableId="27A1F2F8" w16cex:dateUtc="2023-02-23T19:13:00Z"/>
  <w16cex:commentExtensible w16cex:durableId="27A0BC86" w16cex:dateUtc="2023-02-22T21:08:00Z"/>
  <w16cex:commentExtensible w16cex:durableId="27A1F3D5" w16cex:dateUtc="2023-02-23T19:16:00Z"/>
  <w16cex:commentExtensible w16cex:durableId="27A1F572" w16cex:dateUtc="2023-02-23T19:23:00Z"/>
  <w16cex:commentExtensible w16cex:durableId="27A20284" w16cex:dateUtc="2023-02-23T20:19:00Z"/>
  <w16cex:commentExtensible w16cex:durableId="27A203EC" w16cex:dateUtc="2023-02-23T20:25:00Z"/>
  <w16cex:commentExtensible w16cex:durableId="279F52DD" w16cex:dateUtc="2023-02-21T19:25:00Z"/>
  <w16cex:commentExtensible w16cex:durableId="279DF39D" w16cex:dateUtc="2023-02-20T18:26:00Z"/>
  <w16cex:commentExtensible w16cex:durableId="27A0C860" w16cex:dateUtc="2023-02-22T21:59:00Z"/>
  <w16cex:commentExtensible w16cex:durableId="27A2FDCB" w16cex:dateUtc="2023-02-24T14:11:00Z"/>
  <w16cex:commentExtensible w16cex:durableId="27A2FE74" w16cex:dateUtc="2023-02-24T14:14:00Z"/>
  <w16cex:commentExtensible w16cex:durableId="27A3004A" w16cex:dateUtc="2023-02-24T14:22:00Z"/>
  <w16cex:commentExtensible w16cex:durableId="27A0CDA4" w16cex:dateUtc="2023-02-22T22:21:00Z"/>
  <w16cex:commentExtensible w16cex:durableId="27A0B492" w16cex:dateUtc="2023-02-22T20:34:00Z"/>
  <w16cex:commentExtensible w16cex:durableId="27A0CC7B" w16cex:dateUtc="2023-02-22T22:16:00Z"/>
  <w16cex:commentExtensible w16cex:durableId="27A30215" w16cex:dateUtc="2023-02-24T14:29:00Z"/>
  <w16cex:commentExtensible w16cex:durableId="27A0B4B0" w16cex:dateUtc="2023-02-22T20:35:00Z"/>
  <w16cex:commentExtensible w16cex:durableId="27A3040E" w16cex:dateUtc="2023-02-24T14:38:00Z"/>
  <w16cex:commentExtensible w16cex:durableId="27A30597" w16cex:dateUtc="2023-02-24T14:44:00Z"/>
  <w16cex:commentExtensible w16cex:durableId="27A0BBFA" w16cex:dateUtc="2023-02-22T21:06:00Z"/>
  <w16cex:commentExtensible w16cex:durableId="27A3062C" w16cex:dateUtc="2023-02-24T14:47:00Z"/>
  <w16cex:commentExtensible w16cex:durableId="27A0CD22" w16cex:dateUtc="2023-02-22T22:19:00Z"/>
  <w16cex:commentExtensible w16cex:durableId="27A307BD" w16cex:dateUtc="2023-02-24T14:54:00Z"/>
  <w16cex:commentExtensible w16cex:durableId="27A1E87A" w16cex:dateUtc="2023-02-23T18:28:00Z"/>
  <w16cex:commentExtensible w16cex:durableId="27A308BF" w16cex:dateUtc="2023-02-24T14:58:00Z"/>
  <w16cex:commentExtensible w16cex:durableId="27A0DF89" w16cex:dateUtc="2023-02-22T2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0A7200" w16cid:durableId="27A1F043"/>
  <w16cid:commentId w16cid:paraId="1B04DCD0" w16cid:durableId="27A1F100"/>
  <w16cid:commentId w16cid:paraId="75DC05C2" w16cid:durableId="27A1F148"/>
  <w16cid:commentId w16cid:paraId="13CD915D" w16cid:durableId="27A1F19E"/>
  <w16cid:commentId w16cid:paraId="57663BD3" w16cid:durableId="27A1F1B5"/>
  <w16cid:commentId w16cid:paraId="063447EA" w16cid:durableId="27A1F228"/>
  <w16cid:commentId w16cid:paraId="16A92F22" w16cid:durableId="27A1F2D9"/>
  <w16cid:commentId w16cid:paraId="17F2ED3B" w16cid:durableId="27A1F2F8"/>
  <w16cid:commentId w16cid:paraId="7FFA0321" w16cid:durableId="27A0BC86"/>
  <w16cid:commentId w16cid:paraId="153E4A77" w16cid:durableId="27A1F3D5"/>
  <w16cid:commentId w16cid:paraId="2B4D966C" w16cid:durableId="27A1F572"/>
  <w16cid:commentId w16cid:paraId="4C57A222" w16cid:durableId="27A20284"/>
  <w16cid:commentId w16cid:paraId="4840A899" w16cid:durableId="27A203EC"/>
  <w16cid:commentId w16cid:paraId="0BC81653" w16cid:durableId="279F52DD"/>
  <w16cid:commentId w16cid:paraId="33AB08F5" w16cid:durableId="279DF39D"/>
  <w16cid:commentId w16cid:paraId="5EBE1818" w16cid:durableId="27A0C860"/>
  <w16cid:commentId w16cid:paraId="34603351" w16cid:durableId="27A2FDCB"/>
  <w16cid:commentId w16cid:paraId="1A91E11D" w16cid:durableId="27A2FE74"/>
  <w16cid:commentId w16cid:paraId="6BB7397F" w16cid:durableId="27A3004A"/>
  <w16cid:commentId w16cid:paraId="0000152D" w16cid:durableId="27A0CDA4"/>
  <w16cid:commentId w16cid:paraId="4BD9905D" w16cid:durableId="27A0B492"/>
  <w16cid:commentId w16cid:paraId="3A71473A" w16cid:durableId="27A0CC7B"/>
  <w16cid:commentId w16cid:paraId="5EB25D0A" w16cid:durableId="27A30215"/>
  <w16cid:commentId w16cid:paraId="014F595A" w16cid:durableId="27A0B4B0"/>
  <w16cid:commentId w16cid:paraId="6C48FBE4" w16cid:durableId="27A3040E"/>
  <w16cid:commentId w16cid:paraId="6FEDCAED" w16cid:durableId="27A30597"/>
  <w16cid:commentId w16cid:paraId="6CAB1C01" w16cid:durableId="27A0BBFA"/>
  <w16cid:commentId w16cid:paraId="7785C945" w16cid:durableId="27A3062C"/>
  <w16cid:commentId w16cid:paraId="4FCF0ECF" w16cid:durableId="27A0CD22"/>
  <w16cid:commentId w16cid:paraId="4C3A2B53" w16cid:durableId="27A307BD"/>
  <w16cid:commentId w16cid:paraId="2C3DEB61" w16cid:durableId="27A1E87A"/>
  <w16cid:commentId w16cid:paraId="301B870C" w16cid:durableId="27A308BF"/>
  <w16cid:commentId w16cid:paraId="36A4D93D" w16cid:durableId="27A0DF8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7501D"/>
    <w:multiLevelType w:val="multilevel"/>
    <w:tmpl w:val="7D165B8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CC0348"/>
    <w:multiLevelType w:val="hybridMultilevel"/>
    <w:tmpl w:val="B06EE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9021D3"/>
    <w:multiLevelType w:val="hybridMultilevel"/>
    <w:tmpl w:val="6096D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482306">
    <w:abstractNumId w:val="0"/>
  </w:num>
  <w:num w:numId="2" w16cid:durableId="1511413626">
    <w:abstractNumId w:val="2"/>
  </w:num>
  <w:num w:numId="3" w16cid:durableId="2688544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ah">
    <w15:presenceInfo w15:providerId="Windows Live" w15:userId="87be738432606c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AxMTQwMbYwNTUzNDdW0lEKTi0uzszPAymwqAUApkdkTSwAAAA="/>
  </w:docVars>
  <w:rsids>
    <w:rsidRoot w:val="009C0948"/>
    <w:rsid w:val="00005A8E"/>
    <w:rsid w:val="00026D62"/>
    <w:rsid w:val="00034A89"/>
    <w:rsid w:val="000717EA"/>
    <w:rsid w:val="000827EC"/>
    <w:rsid w:val="000C4F5A"/>
    <w:rsid w:val="000C6A7C"/>
    <w:rsid w:val="000E2E46"/>
    <w:rsid w:val="00105B51"/>
    <w:rsid w:val="00123C98"/>
    <w:rsid w:val="00157120"/>
    <w:rsid w:val="001961AA"/>
    <w:rsid w:val="001A1266"/>
    <w:rsid w:val="001E6636"/>
    <w:rsid w:val="001F77ED"/>
    <w:rsid w:val="00226862"/>
    <w:rsid w:val="00252450"/>
    <w:rsid w:val="0027656F"/>
    <w:rsid w:val="003248E0"/>
    <w:rsid w:val="00367F63"/>
    <w:rsid w:val="00387548"/>
    <w:rsid w:val="003A43DB"/>
    <w:rsid w:val="003A7340"/>
    <w:rsid w:val="003B12A2"/>
    <w:rsid w:val="00404F87"/>
    <w:rsid w:val="004331F4"/>
    <w:rsid w:val="00456A14"/>
    <w:rsid w:val="00487F62"/>
    <w:rsid w:val="004A0512"/>
    <w:rsid w:val="004A4367"/>
    <w:rsid w:val="004A7B0C"/>
    <w:rsid w:val="004B5499"/>
    <w:rsid w:val="004B7943"/>
    <w:rsid w:val="004F3313"/>
    <w:rsid w:val="00500B12"/>
    <w:rsid w:val="00531B93"/>
    <w:rsid w:val="00560139"/>
    <w:rsid w:val="00593C4A"/>
    <w:rsid w:val="005A08E0"/>
    <w:rsid w:val="005C46A7"/>
    <w:rsid w:val="005D7F87"/>
    <w:rsid w:val="005E217B"/>
    <w:rsid w:val="00601203"/>
    <w:rsid w:val="0064214F"/>
    <w:rsid w:val="0067200C"/>
    <w:rsid w:val="006768B1"/>
    <w:rsid w:val="006C33F9"/>
    <w:rsid w:val="006E344F"/>
    <w:rsid w:val="00736A46"/>
    <w:rsid w:val="00771BC6"/>
    <w:rsid w:val="00784F80"/>
    <w:rsid w:val="00786D4C"/>
    <w:rsid w:val="007A14C6"/>
    <w:rsid w:val="00805049"/>
    <w:rsid w:val="00806879"/>
    <w:rsid w:val="0081509D"/>
    <w:rsid w:val="00836FEF"/>
    <w:rsid w:val="0083706B"/>
    <w:rsid w:val="00840885"/>
    <w:rsid w:val="00863B75"/>
    <w:rsid w:val="00874A8B"/>
    <w:rsid w:val="00877294"/>
    <w:rsid w:val="008D4454"/>
    <w:rsid w:val="009250A1"/>
    <w:rsid w:val="009379C0"/>
    <w:rsid w:val="00982C06"/>
    <w:rsid w:val="00994061"/>
    <w:rsid w:val="00994C68"/>
    <w:rsid w:val="009A5775"/>
    <w:rsid w:val="009C0948"/>
    <w:rsid w:val="00A12D52"/>
    <w:rsid w:val="00A152DC"/>
    <w:rsid w:val="00A46709"/>
    <w:rsid w:val="00A837B1"/>
    <w:rsid w:val="00AC5AFB"/>
    <w:rsid w:val="00AD475A"/>
    <w:rsid w:val="00AD6F0A"/>
    <w:rsid w:val="00B053F1"/>
    <w:rsid w:val="00B14E94"/>
    <w:rsid w:val="00B660EC"/>
    <w:rsid w:val="00BE30FA"/>
    <w:rsid w:val="00C164C8"/>
    <w:rsid w:val="00C27711"/>
    <w:rsid w:val="00C324D9"/>
    <w:rsid w:val="00CA19F1"/>
    <w:rsid w:val="00CE0196"/>
    <w:rsid w:val="00CF0459"/>
    <w:rsid w:val="00D06E30"/>
    <w:rsid w:val="00D274AF"/>
    <w:rsid w:val="00D44762"/>
    <w:rsid w:val="00D54DFC"/>
    <w:rsid w:val="00E44DCD"/>
    <w:rsid w:val="00E50D8D"/>
    <w:rsid w:val="00E6028E"/>
    <w:rsid w:val="00EA2388"/>
    <w:rsid w:val="00EA58B2"/>
    <w:rsid w:val="00ED1386"/>
    <w:rsid w:val="00F44B65"/>
    <w:rsid w:val="00F53C3B"/>
    <w:rsid w:val="00F54A7B"/>
    <w:rsid w:val="00F927AC"/>
    <w:rsid w:val="00FB68C8"/>
    <w:rsid w:val="00FE0478"/>
    <w:rsid w:val="00FE70D3"/>
    <w:rsid w:val="00FF0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1EF95"/>
  <w15:chartTrackingRefBased/>
  <w15:docId w15:val="{2EE2EF0F-6699-416D-9349-2D466A6B2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C3B"/>
    <w:pPr>
      <w:suppressAutoHyphens/>
      <w:spacing w:after="0" w:line="240" w:lineRule="auto"/>
    </w:pPr>
    <w:rPr>
      <w:rFonts w:ascii="Arial" w:eastAsia="Times New Roman" w:hAnsi="Arial" w:cs="Times New Roman"/>
      <w:sz w:val="24"/>
      <w:szCs w:val="20"/>
      <w:lang w:eastAsia="zh-CN"/>
    </w:rPr>
  </w:style>
  <w:style w:type="paragraph" w:styleId="Heading1">
    <w:name w:val="heading 1"/>
    <w:basedOn w:val="BodyTextFirstIndent"/>
    <w:next w:val="Text"/>
    <w:link w:val="Heading1Char"/>
    <w:uiPriority w:val="9"/>
    <w:qFormat/>
    <w:rsid w:val="00F53C3B"/>
    <w:pPr>
      <w:keepNext/>
      <w:numPr>
        <w:numId w:val="1"/>
      </w:numPr>
      <w:jc w:val="center"/>
      <w:outlineLvl w:val="0"/>
    </w:pPr>
    <w:rPr>
      <w:rFonts w:ascii="Arial" w:hAnsi="Arial"/>
      <w:b w:val="0"/>
      <w:sz w:val="24"/>
    </w:rPr>
  </w:style>
  <w:style w:type="paragraph" w:styleId="Heading2">
    <w:name w:val="heading 2"/>
    <w:basedOn w:val="Heading"/>
    <w:next w:val="BodyText"/>
    <w:link w:val="Heading2Char"/>
    <w:uiPriority w:val="9"/>
    <w:unhideWhenUsed/>
    <w:qFormat/>
    <w:rsid w:val="00F53C3B"/>
    <w:pPr>
      <w:numPr>
        <w:ilvl w:val="1"/>
        <w:numId w:val="1"/>
      </w:numPr>
      <w:spacing w:before="0" w:after="0"/>
      <w:outlineLvl w:val="1"/>
    </w:pPr>
    <w:rPr>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F53C3B"/>
    <w:rPr>
      <w:rFonts w:ascii="Arial" w:eastAsia="Times New Roman" w:hAnsi="Arial" w:cs="Courier New"/>
      <w:bCs/>
      <w:sz w:val="24"/>
      <w:szCs w:val="24"/>
      <w:lang w:eastAsia="zh-CN"/>
    </w:rPr>
  </w:style>
  <w:style w:type="character" w:customStyle="1" w:styleId="Heading2Char">
    <w:name w:val="Heading 2 Char"/>
    <w:basedOn w:val="DefaultParagraphFont"/>
    <w:link w:val="Heading2"/>
    <w:uiPriority w:val="9"/>
    <w:rsid w:val="00F53C3B"/>
    <w:rPr>
      <w:rFonts w:ascii="Arial" w:eastAsia="Microsoft YaHei" w:hAnsi="Arial" w:cs="Mangal"/>
      <w:bCs/>
      <w:sz w:val="24"/>
      <w:szCs w:val="32"/>
      <w:lang w:eastAsia="zh-CN"/>
    </w:rPr>
  </w:style>
  <w:style w:type="character" w:customStyle="1" w:styleId="WW8Num1z0">
    <w:name w:val="WW8Num1z0"/>
    <w:qFormat/>
    <w:rsid w:val="00F53C3B"/>
  </w:style>
  <w:style w:type="character" w:customStyle="1" w:styleId="WW8Num1z1">
    <w:name w:val="WW8Num1z1"/>
    <w:qFormat/>
    <w:rsid w:val="00F53C3B"/>
  </w:style>
  <w:style w:type="character" w:customStyle="1" w:styleId="WW8Num1z2">
    <w:name w:val="WW8Num1z2"/>
    <w:qFormat/>
    <w:rsid w:val="00F53C3B"/>
  </w:style>
  <w:style w:type="character" w:customStyle="1" w:styleId="WW8Num1z3">
    <w:name w:val="WW8Num1z3"/>
    <w:qFormat/>
    <w:rsid w:val="00F53C3B"/>
  </w:style>
  <w:style w:type="character" w:customStyle="1" w:styleId="WW8Num1z4">
    <w:name w:val="WW8Num1z4"/>
    <w:qFormat/>
    <w:rsid w:val="00F53C3B"/>
  </w:style>
  <w:style w:type="character" w:customStyle="1" w:styleId="WW8Num1z5">
    <w:name w:val="WW8Num1z5"/>
    <w:qFormat/>
    <w:rsid w:val="00F53C3B"/>
  </w:style>
  <w:style w:type="character" w:customStyle="1" w:styleId="WW8Num1z6">
    <w:name w:val="WW8Num1z6"/>
    <w:qFormat/>
    <w:rsid w:val="00F53C3B"/>
  </w:style>
  <w:style w:type="character" w:customStyle="1" w:styleId="WW8Num1z7">
    <w:name w:val="WW8Num1z7"/>
    <w:qFormat/>
    <w:rsid w:val="00F53C3B"/>
  </w:style>
  <w:style w:type="character" w:customStyle="1" w:styleId="WW8Num1z8">
    <w:name w:val="WW8Num1z8"/>
    <w:qFormat/>
    <w:rsid w:val="00F53C3B"/>
  </w:style>
  <w:style w:type="character" w:styleId="PageNumber">
    <w:name w:val="page number"/>
    <w:basedOn w:val="DefaultParagraphFont"/>
    <w:rsid w:val="00F53C3B"/>
  </w:style>
  <w:style w:type="character" w:customStyle="1" w:styleId="TitleChar">
    <w:name w:val="Title Char"/>
    <w:qFormat/>
    <w:rsid w:val="00F53C3B"/>
    <w:rPr>
      <w:kern w:val="2"/>
      <w:sz w:val="24"/>
      <w:szCs w:val="24"/>
    </w:rPr>
  </w:style>
  <w:style w:type="character" w:customStyle="1" w:styleId="BodyTextChar">
    <w:name w:val="Body Text Char"/>
    <w:qFormat/>
    <w:rsid w:val="00F53C3B"/>
    <w:rPr>
      <w:rFonts w:ascii="Courier New" w:hAnsi="Courier New" w:cs="Courier New"/>
      <w:b/>
      <w:bCs/>
      <w:szCs w:val="24"/>
    </w:rPr>
  </w:style>
  <w:style w:type="character" w:customStyle="1" w:styleId="FooterChar">
    <w:name w:val="Footer Char"/>
    <w:qFormat/>
    <w:rsid w:val="00F53C3B"/>
    <w:rPr>
      <w:sz w:val="24"/>
    </w:rPr>
  </w:style>
  <w:style w:type="character" w:styleId="Hyperlink">
    <w:name w:val="Hyperlink"/>
    <w:rsid w:val="00F53C3B"/>
    <w:rPr>
      <w:color w:val="0000FF"/>
      <w:u w:val="single"/>
    </w:rPr>
  </w:style>
  <w:style w:type="character" w:customStyle="1" w:styleId="BalloonTextChar">
    <w:name w:val="Balloon Text Char"/>
    <w:qFormat/>
    <w:rsid w:val="00F53C3B"/>
    <w:rPr>
      <w:rFonts w:ascii="Tahoma" w:hAnsi="Tahoma" w:cs="Tahoma"/>
      <w:sz w:val="16"/>
      <w:szCs w:val="16"/>
    </w:rPr>
  </w:style>
  <w:style w:type="character" w:styleId="CommentReference">
    <w:name w:val="annotation reference"/>
    <w:qFormat/>
    <w:rsid w:val="00F53C3B"/>
    <w:rPr>
      <w:sz w:val="16"/>
      <w:szCs w:val="16"/>
    </w:rPr>
  </w:style>
  <w:style w:type="character" w:customStyle="1" w:styleId="CommentTextChar">
    <w:name w:val="Comment Text Char"/>
    <w:basedOn w:val="DefaultParagraphFont"/>
    <w:qFormat/>
    <w:rsid w:val="00F53C3B"/>
  </w:style>
  <w:style w:type="character" w:customStyle="1" w:styleId="CommentSubjectChar">
    <w:name w:val="Comment Subject Char"/>
    <w:qFormat/>
    <w:rsid w:val="00F53C3B"/>
    <w:rPr>
      <w:b/>
      <w:bCs/>
    </w:rPr>
  </w:style>
  <w:style w:type="character" w:customStyle="1" w:styleId="IndexLink">
    <w:name w:val="Index Link"/>
    <w:qFormat/>
    <w:rsid w:val="00F53C3B"/>
  </w:style>
  <w:style w:type="paragraph" w:customStyle="1" w:styleId="Heading">
    <w:name w:val="Heading"/>
    <w:basedOn w:val="Normal"/>
    <w:next w:val="BodyText"/>
    <w:qFormat/>
    <w:rsid w:val="00F53C3B"/>
    <w:pPr>
      <w:keepNext/>
      <w:spacing w:before="240" w:after="120"/>
    </w:pPr>
    <w:rPr>
      <w:rFonts w:eastAsia="Microsoft YaHei" w:cs="Mangal"/>
      <w:sz w:val="28"/>
      <w:szCs w:val="28"/>
    </w:rPr>
  </w:style>
  <w:style w:type="paragraph" w:styleId="BodyText">
    <w:name w:val="Body Text"/>
    <w:basedOn w:val="Normal"/>
    <w:link w:val="BodyTextChar1"/>
    <w:rsid w:val="00F53C3B"/>
    <w:rPr>
      <w:rFonts w:ascii="Courier New" w:hAnsi="Courier New" w:cs="Courier New"/>
      <w:b/>
      <w:bCs/>
      <w:sz w:val="20"/>
      <w:szCs w:val="24"/>
    </w:rPr>
  </w:style>
  <w:style w:type="character" w:customStyle="1" w:styleId="BodyTextChar1">
    <w:name w:val="Body Text Char1"/>
    <w:basedOn w:val="DefaultParagraphFont"/>
    <w:link w:val="BodyText"/>
    <w:rsid w:val="00F53C3B"/>
    <w:rPr>
      <w:rFonts w:ascii="Courier New" w:eastAsia="Times New Roman" w:hAnsi="Courier New" w:cs="Courier New"/>
      <w:b/>
      <w:bCs/>
      <w:sz w:val="20"/>
      <w:szCs w:val="24"/>
      <w:lang w:eastAsia="zh-CN"/>
    </w:rPr>
  </w:style>
  <w:style w:type="paragraph" w:styleId="List">
    <w:name w:val="List"/>
    <w:basedOn w:val="BodyText"/>
    <w:rsid w:val="00F53C3B"/>
    <w:rPr>
      <w:rFonts w:cs="Mangal"/>
    </w:rPr>
  </w:style>
  <w:style w:type="paragraph" w:styleId="Caption">
    <w:name w:val="caption"/>
    <w:basedOn w:val="Normal"/>
    <w:qFormat/>
    <w:rsid w:val="00F53C3B"/>
    <w:pPr>
      <w:suppressLineNumbers/>
      <w:spacing w:before="120" w:after="120"/>
    </w:pPr>
    <w:rPr>
      <w:rFonts w:cs="Mangal"/>
      <w:i/>
      <w:iCs/>
      <w:szCs w:val="24"/>
    </w:rPr>
  </w:style>
  <w:style w:type="paragraph" w:customStyle="1" w:styleId="Index">
    <w:name w:val="Index"/>
    <w:basedOn w:val="Normal"/>
    <w:qFormat/>
    <w:rsid w:val="00F53C3B"/>
    <w:pPr>
      <w:suppressLineNumbers/>
    </w:pPr>
    <w:rPr>
      <w:rFonts w:cs="Mangal"/>
    </w:rPr>
  </w:style>
  <w:style w:type="paragraph" w:customStyle="1" w:styleId="HeaderandFooter">
    <w:name w:val="Header and Footer"/>
    <w:basedOn w:val="Normal"/>
    <w:qFormat/>
    <w:rsid w:val="00F53C3B"/>
    <w:pPr>
      <w:suppressLineNumbers/>
      <w:tabs>
        <w:tab w:val="center" w:pos="4986"/>
        <w:tab w:val="right" w:pos="9972"/>
      </w:tabs>
    </w:pPr>
  </w:style>
  <w:style w:type="paragraph" w:styleId="Footer">
    <w:name w:val="footer"/>
    <w:basedOn w:val="Normal"/>
    <w:link w:val="FooterChar1"/>
    <w:rsid w:val="00F53C3B"/>
    <w:pPr>
      <w:tabs>
        <w:tab w:val="center" w:pos="4320"/>
        <w:tab w:val="right" w:pos="8640"/>
      </w:tabs>
    </w:pPr>
  </w:style>
  <w:style w:type="character" w:customStyle="1" w:styleId="FooterChar1">
    <w:name w:val="Footer Char1"/>
    <w:basedOn w:val="DefaultParagraphFont"/>
    <w:link w:val="Footer"/>
    <w:rsid w:val="00F53C3B"/>
    <w:rPr>
      <w:rFonts w:ascii="Arial" w:eastAsia="Times New Roman" w:hAnsi="Arial" w:cs="Times New Roman"/>
      <w:sz w:val="24"/>
      <w:szCs w:val="20"/>
      <w:lang w:eastAsia="zh-CN"/>
    </w:rPr>
  </w:style>
  <w:style w:type="paragraph" w:styleId="Header">
    <w:name w:val="header"/>
    <w:basedOn w:val="Normal"/>
    <w:link w:val="HeaderChar"/>
    <w:rsid w:val="00F53C3B"/>
    <w:pPr>
      <w:tabs>
        <w:tab w:val="center" w:pos="4320"/>
        <w:tab w:val="right" w:pos="8640"/>
      </w:tabs>
    </w:pPr>
  </w:style>
  <w:style w:type="character" w:customStyle="1" w:styleId="HeaderChar">
    <w:name w:val="Header Char"/>
    <w:basedOn w:val="DefaultParagraphFont"/>
    <w:link w:val="Header"/>
    <w:rsid w:val="00F53C3B"/>
    <w:rPr>
      <w:rFonts w:ascii="Arial" w:eastAsia="Times New Roman" w:hAnsi="Arial" w:cs="Times New Roman"/>
      <w:sz w:val="24"/>
      <w:szCs w:val="20"/>
      <w:lang w:eastAsia="zh-CN"/>
    </w:rPr>
  </w:style>
  <w:style w:type="paragraph" w:styleId="Title">
    <w:name w:val="Title"/>
    <w:basedOn w:val="Normal"/>
    <w:next w:val="Subtitle"/>
    <w:link w:val="TitleChar1"/>
    <w:uiPriority w:val="10"/>
    <w:qFormat/>
    <w:rsid w:val="00F53C3B"/>
    <w:pPr>
      <w:widowControl w:val="0"/>
      <w:overflowPunct w:val="0"/>
      <w:autoSpaceDE w:val="0"/>
      <w:jc w:val="center"/>
    </w:pPr>
    <w:rPr>
      <w:kern w:val="2"/>
      <w:szCs w:val="24"/>
    </w:rPr>
  </w:style>
  <w:style w:type="character" w:customStyle="1" w:styleId="TitleChar1">
    <w:name w:val="Title Char1"/>
    <w:basedOn w:val="DefaultParagraphFont"/>
    <w:link w:val="Title"/>
    <w:uiPriority w:val="10"/>
    <w:rsid w:val="00F53C3B"/>
    <w:rPr>
      <w:rFonts w:ascii="Arial" w:eastAsia="Times New Roman" w:hAnsi="Arial" w:cs="Times New Roman"/>
      <w:kern w:val="2"/>
      <w:sz w:val="24"/>
      <w:szCs w:val="24"/>
      <w:lang w:eastAsia="zh-CN"/>
    </w:rPr>
  </w:style>
  <w:style w:type="paragraph" w:styleId="Subtitle">
    <w:name w:val="Subtitle"/>
    <w:basedOn w:val="Heading"/>
    <w:next w:val="BodyText"/>
    <w:link w:val="SubtitleChar"/>
    <w:uiPriority w:val="11"/>
    <w:qFormat/>
    <w:rsid w:val="00F53C3B"/>
    <w:pPr>
      <w:jc w:val="center"/>
    </w:pPr>
    <w:rPr>
      <w:i/>
      <w:iCs/>
    </w:rPr>
  </w:style>
  <w:style w:type="character" w:customStyle="1" w:styleId="SubtitleChar">
    <w:name w:val="Subtitle Char"/>
    <w:basedOn w:val="DefaultParagraphFont"/>
    <w:link w:val="Subtitle"/>
    <w:uiPriority w:val="11"/>
    <w:rsid w:val="00F53C3B"/>
    <w:rPr>
      <w:rFonts w:ascii="Arial" w:eastAsia="Microsoft YaHei" w:hAnsi="Arial" w:cs="Mangal"/>
      <w:i/>
      <w:iCs/>
      <w:sz w:val="28"/>
      <w:szCs w:val="28"/>
      <w:lang w:eastAsia="zh-CN"/>
    </w:rPr>
  </w:style>
  <w:style w:type="paragraph" w:styleId="DocumentMap">
    <w:name w:val="Document Map"/>
    <w:basedOn w:val="Normal"/>
    <w:link w:val="DocumentMapChar"/>
    <w:qFormat/>
    <w:rsid w:val="00F53C3B"/>
    <w:pPr>
      <w:shd w:val="clear" w:color="auto" w:fill="000080"/>
    </w:pPr>
    <w:rPr>
      <w:rFonts w:ascii="Tahoma" w:hAnsi="Tahoma" w:cs="Tahoma"/>
      <w:sz w:val="20"/>
    </w:rPr>
  </w:style>
  <w:style w:type="character" w:customStyle="1" w:styleId="DocumentMapChar">
    <w:name w:val="Document Map Char"/>
    <w:basedOn w:val="DefaultParagraphFont"/>
    <w:link w:val="DocumentMap"/>
    <w:rsid w:val="00F53C3B"/>
    <w:rPr>
      <w:rFonts w:ascii="Tahoma" w:eastAsia="Times New Roman" w:hAnsi="Tahoma" w:cs="Tahoma"/>
      <w:sz w:val="20"/>
      <w:szCs w:val="20"/>
      <w:shd w:val="clear" w:color="auto" w:fill="000080"/>
      <w:lang w:eastAsia="zh-CN"/>
    </w:rPr>
  </w:style>
  <w:style w:type="paragraph" w:styleId="TOCHeading">
    <w:name w:val="TOC Heading"/>
    <w:basedOn w:val="Heading1"/>
    <w:next w:val="Normal"/>
    <w:qFormat/>
    <w:rsid w:val="00F53C3B"/>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rsid w:val="00F53C3B"/>
    <w:pPr>
      <w:tabs>
        <w:tab w:val="right" w:leader="dot" w:pos="8342"/>
      </w:tabs>
      <w:spacing w:line="480" w:lineRule="auto"/>
      <w:ind w:left="360" w:hanging="360"/>
    </w:pPr>
  </w:style>
  <w:style w:type="paragraph" w:styleId="TOC2">
    <w:name w:val="toc 2"/>
    <w:basedOn w:val="Normal"/>
    <w:next w:val="Normal"/>
    <w:rsid w:val="00F53C3B"/>
    <w:pPr>
      <w:spacing w:after="100" w:line="276" w:lineRule="auto"/>
      <w:ind w:left="220"/>
    </w:pPr>
    <w:rPr>
      <w:rFonts w:ascii="Calibri" w:hAnsi="Calibri"/>
      <w:sz w:val="22"/>
      <w:szCs w:val="22"/>
    </w:rPr>
  </w:style>
  <w:style w:type="paragraph" w:styleId="TOC3">
    <w:name w:val="toc 3"/>
    <w:basedOn w:val="Normal"/>
    <w:next w:val="Normal"/>
    <w:rsid w:val="00F53C3B"/>
    <w:pPr>
      <w:spacing w:after="100" w:line="276" w:lineRule="auto"/>
      <w:ind w:left="440"/>
    </w:pPr>
    <w:rPr>
      <w:rFonts w:ascii="Calibri" w:hAnsi="Calibri"/>
      <w:sz w:val="22"/>
      <w:szCs w:val="22"/>
    </w:rPr>
  </w:style>
  <w:style w:type="paragraph" w:styleId="BalloonText">
    <w:name w:val="Balloon Text"/>
    <w:basedOn w:val="Normal"/>
    <w:link w:val="BalloonTextChar1"/>
    <w:qFormat/>
    <w:rsid w:val="00F53C3B"/>
    <w:rPr>
      <w:rFonts w:ascii="Tahoma" w:hAnsi="Tahoma" w:cs="Tahoma"/>
      <w:sz w:val="16"/>
      <w:szCs w:val="16"/>
    </w:rPr>
  </w:style>
  <w:style w:type="character" w:customStyle="1" w:styleId="BalloonTextChar1">
    <w:name w:val="Balloon Text Char1"/>
    <w:basedOn w:val="DefaultParagraphFont"/>
    <w:link w:val="BalloonText"/>
    <w:rsid w:val="00F53C3B"/>
    <w:rPr>
      <w:rFonts w:ascii="Tahoma" w:eastAsia="Times New Roman" w:hAnsi="Tahoma" w:cs="Tahoma"/>
      <w:sz w:val="16"/>
      <w:szCs w:val="16"/>
      <w:lang w:eastAsia="zh-CN"/>
    </w:rPr>
  </w:style>
  <w:style w:type="paragraph" w:styleId="TableofFigures">
    <w:name w:val="table of figures"/>
    <w:basedOn w:val="Normal"/>
    <w:next w:val="Normal"/>
    <w:qFormat/>
    <w:rsid w:val="00F53C3B"/>
  </w:style>
  <w:style w:type="paragraph" w:styleId="CommentText">
    <w:name w:val="annotation text"/>
    <w:basedOn w:val="Normal"/>
    <w:link w:val="CommentTextChar1"/>
    <w:qFormat/>
    <w:rsid w:val="00F53C3B"/>
    <w:rPr>
      <w:sz w:val="20"/>
    </w:rPr>
  </w:style>
  <w:style w:type="character" w:customStyle="1" w:styleId="CommentTextChar1">
    <w:name w:val="Comment Text Char1"/>
    <w:basedOn w:val="DefaultParagraphFont"/>
    <w:link w:val="CommentText"/>
    <w:rsid w:val="00F53C3B"/>
    <w:rPr>
      <w:rFonts w:ascii="Arial" w:eastAsia="Times New Roman" w:hAnsi="Arial" w:cs="Times New Roman"/>
      <w:sz w:val="20"/>
      <w:szCs w:val="20"/>
      <w:lang w:eastAsia="zh-CN"/>
    </w:rPr>
  </w:style>
  <w:style w:type="paragraph" w:styleId="CommentSubject">
    <w:name w:val="annotation subject"/>
    <w:basedOn w:val="CommentText"/>
    <w:next w:val="CommentText"/>
    <w:link w:val="CommentSubjectChar1"/>
    <w:qFormat/>
    <w:rsid w:val="00F53C3B"/>
    <w:rPr>
      <w:b/>
      <w:bCs/>
    </w:rPr>
  </w:style>
  <w:style w:type="character" w:customStyle="1" w:styleId="CommentSubjectChar1">
    <w:name w:val="Comment Subject Char1"/>
    <w:basedOn w:val="CommentTextChar1"/>
    <w:link w:val="CommentSubject"/>
    <w:rsid w:val="00F53C3B"/>
    <w:rPr>
      <w:rFonts w:ascii="Arial" w:eastAsia="Times New Roman" w:hAnsi="Arial" w:cs="Times New Roman"/>
      <w:b/>
      <w:bCs/>
      <w:sz w:val="20"/>
      <w:szCs w:val="20"/>
      <w:lang w:eastAsia="zh-CN"/>
    </w:rPr>
  </w:style>
  <w:style w:type="paragraph" w:customStyle="1" w:styleId="WW-Default">
    <w:name w:val="WW-Default"/>
    <w:qFormat/>
    <w:rsid w:val="00F53C3B"/>
    <w:pPr>
      <w:widowControl w:val="0"/>
      <w:suppressAutoHyphens/>
      <w:autoSpaceDE w:val="0"/>
      <w:spacing w:after="0" w:line="240" w:lineRule="auto"/>
    </w:pPr>
    <w:rPr>
      <w:rFonts w:ascii="Arial" w:eastAsia="Times New Roman" w:hAnsi="Arial" w:cs="Arial"/>
      <w:color w:val="000000"/>
      <w:sz w:val="24"/>
      <w:szCs w:val="24"/>
      <w:lang w:eastAsia="zh-CN"/>
    </w:rPr>
  </w:style>
  <w:style w:type="paragraph" w:styleId="TOC4">
    <w:name w:val="toc 4"/>
    <w:basedOn w:val="Index"/>
    <w:rsid w:val="00F53C3B"/>
    <w:pPr>
      <w:tabs>
        <w:tab w:val="right" w:leader="dot" w:pos="9123"/>
      </w:tabs>
      <w:ind w:left="849"/>
    </w:pPr>
  </w:style>
  <w:style w:type="paragraph" w:styleId="TOC5">
    <w:name w:val="toc 5"/>
    <w:basedOn w:val="Index"/>
    <w:rsid w:val="00F53C3B"/>
    <w:pPr>
      <w:tabs>
        <w:tab w:val="right" w:leader="dot" w:pos="8840"/>
      </w:tabs>
      <w:ind w:left="1132"/>
    </w:pPr>
  </w:style>
  <w:style w:type="paragraph" w:styleId="TOC6">
    <w:name w:val="toc 6"/>
    <w:basedOn w:val="Index"/>
    <w:rsid w:val="00F53C3B"/>
    <w:pPr>
      <w:tabs>
        <w:tab w:val="right" w:leader="dot" w:pos="8557"/>
      </w:tabs>
      <w:ind w:left="1415"/>
    </w:pPr>
  </w:style>
  <w:style w:type="paragraph" w:styleId="TOC7">
    <w:name w:val="toc 7"/>
    <w:basedOn w:val="Index"/>
    <w:rsid w:val="00F53C3B"/>
    <w:pPr>
      <w:tabs>
        <w:tab w:val="right" w:leader="dot" w:pos="8274"/>
      </w:tabs>
      <w:ind w:left="1698"/>
    </w:pPr>
  </w:style>
  <w:style w:type="paragraph" w:styleId="TOC8">
    <w:name w:val="toc 8"/>
    <w:basedOn w:val="Index"/>
    <w:rsid w:val="00F53C3B"/>
    <w:pPr>
      <w:tabs>
        <w:tab w:val="right" w:leader="dot" w:pos="7991"/>
      </w:tabs>
      <w:ind w:left="1981"/>
    </w:pPr>
  </w:style>
  <w:style w:type="paragraph" w:styleId="TOC9">
    <w:name w:val="toc 9"/>
    <w:basedOn w:val="Index"/>
    <w:rsid w:val="00F53C3B"/>
    <w:pPr>
      <w:tabs>
        <w:tab w:val="right" w:leader="dot" w:pos="7708"/>
      </w:tabs>
      <w:ind w:left="2264"/>
    </w:pPr>
  </w:style>
  <w:style w:type="paragraph" w:customStyle="1" w:styleId="Contents10">
    <w:name w:val="Contents 10"/>
    <w:basedOn w:val="Index"/>
    <w:qFormat/>
    <w:rsid w:val="00F53C3B"/>
    <w:pPr>
      <w:tabs>
        <w:tab w:val="right" w:leader="dot" w:pos="7425"/>
      </w:tabs>
      <w:ind w:left="2547"/>
    </w:pPr>
  </w:style>
  <w:style w:type="paragraph" w:styleId="BodyTextFirstIndent">
    <w:name w:val="Body Text First Indent"/>
    <w:basedOn w:val="BodyText"/>
    <w:link w:val="BodyTextFirstIndentChar"/>
    <w:rsid w:val="00F53C3B"/>
    <w:pPr>
      <w:ind w:firstLine="283"/>
    </w:pPr>
  </w:style>
  <w:style w:type="character" w:customStyle="1" w:styleId="BodyTextFirstIndentChar">
    <w:name w:val="Body Text First Indent Char"/>
    <w:basedOn w:val="BodyTextChar1"/>
    <w:link w:val="BodyTextFirstIndent"/>
    <w:rsid w:val="00F53C3B"/>
    <w:rPr>
      <w:rFonts w:ascii="Courier New" w:eastAsia="Times New Roman" w:hAnsi="Courier New" w:cs="Courier New"/>
      <w:b/>
      <w:bCs/>
      <w:sz w:val="20"/>
      <w:szCs w:val="24"/>
      <w:lang w:eastAsia="zh-CN"/>
    </w:rPr>
  </w:style>
  <w:style w:type="paragraph" w:customStyle="1" w:styleId="Text">
    <w:name w:val="Text"/>
    <w:basedOn w:val="Caption"/>
    <w:qFormat/>
    <w:rsid w:val="00F53C3B"/>
  </w:style>
  <w:style w:type="numbering" w:customStyle="1" w:styleId="WW8Num1">
    <w:name w:val="WW8Num1"/>
    <w:qFormat/>
    <w:rsid w:val="00F53C3B"/>
  </w:style>
  <w:style w:type="paragraph" w:styleId="ListParagraph">
    <w:name w:val="List Paragraph"/>
    <w:basedOn w:val="Normal"/>
    <w:uiPriority w:val="34"/>
    <w:qFormat/>
    <w:rsid w:val="00D274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77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a\OneDrive\Desktop\thesis_template_January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thesis_template_January2020</Template>
  <TotalTime>1851</TotalTime>
  <Pages>20</Pages>
  <Words>4643</Words>
  <Characters>26471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dc:creator>
  <cp:keywords/>
  <dc:description/>
  <cp:lastModifiedBy>Hannah</cp:lastModifiedBy>
  <cp:revision>79</cp:revision>
  <dcterms:created xsi:type="dcterms:W3CDTF">2023-02-09T18:30:00Z</dcterms:created>
  <dcterms:modified xsi:type="dcterms:W3CDTF">2023-02-24T15:00:00Z</dcterms:modified>
</cp:coreProperties>
</file>